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E0" w:rsidRDefault="00EE0D6B" w:rsidP="00864861">
      <w:pPr>
        <w:ind w:left="-15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3pt;margin-top:-25.85pt;width:181.5pt;height:40.2pt;z-index:251660288;mso-width-relative:margin;mso-height-relative:margin" stroked="f">
            <v:textbox>
              <w:txbxContent>
                <w:p w:rsidR="005777CC" w:rsidRPr="005777CC" w:rsidRDefault="005777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5777CC">
                    <w:rPr>
                      <w:sz w:val="28"/>
                      <w:szCs w:val="28"/>
                    </w:rPr>
                    <w:t xml:space="preserve">Приложение </w:t>
                  </w:r>
                  <w:r w:rsidR="00481446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792D48">
        <w:rPr>
          <w:noProof/>
          <w:lang w:eastAsia="ru-RU"/>
        </w:rPr>
        <w:drawing>
          <wp:inline distT="0" distB="0" distL="0" distR="0">
            <wp:extent cx="7080690" cy="9887578"/>
            <wp:effectExtent l="19050" t="0" r="5910" b="0"/>
            <wp:docPr id="1" name="Рисунок 1" descr="Y:\otdel\ПЭО\ПАО МУССОН\ОСА\ОСА_2015\Образцы ежеквартальных отчетов\Ежеквартальный отчет за 2015 г\Приложение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Образцы ежеквартальных отчетов\Ежеквартальный отчет за 2015 г\Приложение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690" cy="988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87634" cy="9558614"/>
            <wp:effectExtent l="19050" t="0" r="0" b="0"/>
            <wp:docPr id="2" name="Рисунок 2" descr="Y:\otdel\ПЭО\ПАО МУССОН\ОСА\ОСА_2015\Образцы ежеквартальных отчетов\Ежеквартальный отчет за 2015 г\Приложение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Ежеквартальный отчет за 2015 г\Приложение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50" cy="956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При начислении амортизации объектов основных средств в бухгалтерском учете применяется линейный способ. Начисляется с 1-го числа месяца, следующего за месяцем ввода в эксплуатацию, когда объект принят к учету и отражен на счете 01.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18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Ко вновь приобретенным основным средствам применять Классификацию основных средств, включаемых в амортизационные группы, утвержденную Постановлением Правительства РФ «О Классификации основных средств, включаемых в амортизационные группы» от 1 января 2002 года № 1. По предметам, приобретенным до 2002 года, начислять амортизацию в порядке, предусмотренном Постановлением Совета Министров СССР от 22 октября 1990 года № 1072 «О единых нормах амортизационных отчислений на полное восстановление основных фондов народного хозяйства СССР». В том случае, если предмет невозможно отнести ни к одной из амортизационных групп, организация вправе самостоятельно определить срок его полезного использования. При принятии к учету составляется акт по форме ОС-1.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Постановления Правительства РФ «О Классификации основных средств, включаемых в амортизационные группы» от 01.01.2002 г. № 1; 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В том случае, если организация определяет срок полезного использования объекта основных средств самостоятельно, он устанавливается исходя из ожидаемого срока использования этого объекта в соответствии с ожидаемой производительностью или мощностью.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Активы, в отношении которых выполняются условия, служащие основанием для принятия их к бухгалтерскому учету в качестве объектов основных средств, стоимостью не более 40000 (либо меньшего лимита) рублей за единицу допускается отражать в бухгалтерском учете и отчетности в составе материально-производственных запасов в составе материально-производственных запасов.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11. Установить следующие группы и счета учета однородных объектов основных средств: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92D48" w:rsidRPr="006F698A" w:rsidTr="00B91133">
        <w:tc>
          <w:tcPr>
            <w:tcW w:w="2392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№ группы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Срок полезного использования, лет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здания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Более 30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передаточные устройства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15-20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10-15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оборудование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01.5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инвентарь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вычислительная техника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2-3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прочие объекты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01.9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</w:tbl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начисления амортизации основных средств, у которых изменился срок полезного использования в связи с переходом со стандартов учета Украины на стандарты РФ, за базу берется остаточная стоимость по данным бухгалтерского учета по состоянию на 18 сентября 2014 г.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п. 5, 15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Затраты по ремонту основных средств включаются в себестоимость продукции (работ, услуг) отчетного периода. Модернизация и улучшение основных средств отражается в форме ОС-2, а списание по форме ОС-4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5, 7 Положения по бухгалтерскому учету «Расходы организации» (ПБУ 10/99), утверждено Приказом Минфина РФ от 06.05.99 № 33н; п. 65, 72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Срок полезного использования нематериальных активов определяется исходя из срока действия прав на результат интеллектуальной деятельности или средство индивидуализации и периода контроля над активом, но не менее 2-х лет.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Амортизация нематериальных активов производится следующим способом начисления амортизационных отчислений в бухгалтерском учете линейный способ.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п. 28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 Амортизационные отчисления по нематериальным активам отражаются в бухгалтерском учете путем накопления соответствующих сумм на отдельном счете (05 - «Амортизация нематериальных активов»).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№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Специальный инструмент, специальные приспособления, специальное оборудование и специальную одежду учитывать в составе средств в обороте.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 Письмо Минфина России от 12 мая 2003 года № 16-00-14/159.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Единовременное списание стоимости специальной одежды, срок эксплуатации которой согласно нормам выдачи не превышает 12 месяцев, в момент передачи (отпуска) сотрудникам организации производить.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21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18. При продаже (отпуске) товаров их стоимость (в разрезе той либо иной группы) списывается по себестоимости каждой единицы.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16 Положения по бухгалтерскому учету «Учет материально-производственных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19. Затраты по заготовке и доставке товаров до центральных складов (баз), производимые до момента их передачи в продажу, включаются в состав расходов на продажу.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Товары, приобретенные для продажи в розничной торговле, учитывать по стоимости их приобретения.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Коммерческие и управленческие расходы признаются в себестоимости проданных продукции, товаров, работ, услуг полностью в отчетном периоде их признания в качестве расходов по обычным видам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9 Положения по бухгалтерскому учету «Расходы организации» (ПБУ 10/99), утверждено Приказом Минфина РФ от 06.05.99 № 33н; План счетов </w:t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Незавершенное производство в массовом и серийном производстве отражается в бухгалтерском балансе по фактической производственной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64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23. Отгруженные товары, сданные работы и оказанные услуги, по которым не признана выручка, отражаются в бухгалтерском балансе по фактической полной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61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24. Управленческие расходы, учитываемые по дебету счета 26 «Общехозяйственные расходы», по окончании отчетного периода не распределяются между объектами </w:t>
      </w:r>
      <w:proofErr w:type="spellStart"/>
      <w:r>
        <w:rPr>
          <w:rFonts w:ascii="Arial" w:eastAsia="Times New Roman" w:hAnsi="Arial" w:cs="Arial"/>
          <w:sz w:val="24"/>
          <w:szCs w:val="24"/>
        </w:rPr>
        <w:t>калькулирования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в качестве условно - постоянных списываются непосредственно в дебет счета 90 «Реализация продукции (работ, услуг)».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Распределение общепроизводственных (косвенных) расходов осуществляется пропорционально прямой заработной плате, начисленной рабочим по видам продукции, работ, услуг.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Выручка от выполнения работ, оказания услуг, продажи продукции с длительным циклом изготовления признается по мере готовности работы, услуги, продукции.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«Доходы организации» (ПБУ 9/99), утверждено Приказом Минфина РФ от 06.05.99 № 32н.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При выборе способа определения степени завершенности подрядных работ «по доле понесенных на отчетную дату расходов в расчетной величине общих расходов по договору» доля определяется путем подсчета понесенных расходов в стоимостном измерителе в расчетной величине общих расходов по договору в том же измерителе.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Не связанные непосредственно с исполнением договора доходы организации, полученные при исполнении других видов договоров учитываются как прочие доходы.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12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29. Поступления, получение которых связано с деятельностью по предоставлению за плату во временное владение и пользование активов предприятия, признавать доходами от обычных видов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5, 7 Положения по бухгалтерскому учету «Доходы организации» (ПБУ 9/99), утверждено Приказом Минфина РФ от 06.05.99 № 32н.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Определять степень вероятности, на основании которой дебиторская задолженность может быть не погашена в сроки, установленные договором, и признана сомнительной, исходя из следующих критериев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31. Считать высокой степень вероятности непогашения дебиторской задолженность в сроки, установленные договором, при экспертном коэффициенте этого события, равном 40.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32. Оценку вероятности погашения сомнительного долга полностью или частично осуществлять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также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 по расчетам по договорам уступки права требования за реализованные товары (работы, услуги) и договорам займа - финансовая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70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33. Величину резерва определять отдельно по каждому сомнительному долгу путем перемножения величины задолженности на экспертный коэффициент вероятности ее непогашения.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34. Суммы отчислений в резервы по сомнительным долгам и списание безнадежных долгов за счет резерва производить раз в квартал с иной периодичностью.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35. К расходам будущих периодов относятся и подлежат списанию: платежи за предоставленное право использования результатов интеллектуальной деятельности или средств индивидуализации, производимые в виде фиксированного разового платежа: при наличии договора - в течение срока его действия; при отсутствии договора – определяется самостоятельно на основании заключения эксперта (работника - пользователя данного продукта); расходы на получение лицензии на тот или иной вид деятельности - в течение срока, на который она выдана.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39 Положения по бухгалтерскому учету «Учет нематериальных активов» (ПБУ 14/2007), утверждено Приказом Минфина РФ от 27.12.07 № 153н; п. 16 Положения по бухгалтерскому учету «Учет договоров строительного подряда» (ПБУ 2/2008), утверждено Приказом Минфина РФ от 24.10.2008 № 116н; п. 9, 19 Положения по бухгалтерскому учету «Расходы организации» (ПБУ 10/99), утверждено Приказом Минфина РФ от 06.05.99 № 33н; п. 94 Методических указаний по бухгалтерскому учету материально-производственных запасов, утверждены Приказом Минфина РФ от 28.12.01 № 119н; План счетов бухгалтерского учета финансово-хозяйственной деятельности организаций, утвержден приказом Минфина России от 31.10.2000 N 94н. </w:t>
      </w:r>
    </w:p>
    <w:p w:rsidR="00792D48" w:rsidRPr="002E67B3" w:rsidRDefault="00792D48" w:rsidP="00792D48">
      <w:pPr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36. Признавать все расходы по займам в обычном порядке.</w:t>
      </w:r>
      <w:r w:rsidRPr="002E67B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 </w:t>
      </w:r>
      <w:r w:rsidRPr="002E67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случае, если предприятием начал использоваться инвестиционный актив для изготовления продукции, выполнения работ, оказания услуг несмотря на незавершенность работ по приобретению, сооружению и (или) изготовлению инвестиционного актива, то проценты, причитающиеся к оплате займодавцу (кредитору), прекращают включаться в стоимость такого актива с первого числа месяца, следующего за месяцем начала использования инвестиционного актива.</w:t>
      </w:r>
      <w:r w:rsidRPr="002E67B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расходов по займам и кредитам» (ПБУ 15/08), утверждено Приказом Минфина РФ от 06.10.08 № 107н.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37. Пункт 2 Положения по бухгалтерскому учету «Учет расходов по займам и кредитам» в части лимитов по кредитным линиям или овердрафтам применять.</w:t>
      </w:r>
      <w:r w:rsidRPr="002E67B3">
        <w:rPr>
          <w:rFonts w:ascii="Arial" w:eastAsia="Times New Roman" w:hAnsi="Arial" w:cs="Arial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6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38. Пересчет стоимости денежных знаков в кассе организации и средств на банковских счетах (банковских вкладах), выраженной в иностранной валюте, в рубли производится по мере изменения курсов иностранных валют, котируемых Центральным банком Российской Федерации.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активов и обязательств, стоимость которых выражена в иностранной валюте» (ПБУ 3/2006), утверждено Приказом Минфина РФ от 27.11.06 № 154н.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39. Бюджетные средства признаются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40. Прочее целевое финансирование признается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92н; п. 7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41. При выбытии актива, принятого к бухгалтерскому учету в качестве финансовых вложений, по которому не определяется текущая рыночная стоимость, его стоимость определяется исходя из оценки, определяемой одним из следующих способов: по первоначальной стоимости первых по времени приобретения финансовых вложений (способ 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42. Последующая оценка всех финансовых вложений осуществляется (субъектами малого предпринимательства, за исключением эмитентов публично размещаемых ценных бумаг)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19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43. Положение по бухгалтерскому учету «Учет расчетов по налогу на прибыль» (для организации – субъекта малого предпринимательства и некоммерческой организации) не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44. Информация о постоянных и временных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разницах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формируется в бухгалтерском учете на основании первичных учетных документов непосредственно по счетам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45. Использовать следующие способы определения величины текущего налога на прибыль на основе налоговой декларации по налогу на прибыль.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46. Последствия изменения учетной политики, оказавшие или способные оказать существенное влияние на финансовое положение организации, финансовые результаты ее деятельности и (или) движение денежных средств отражать в бухгалтерской отчетности (для организации - субъекта малого предпринимательства, за исключением эмитентов публично размещаемых ценных бумаг)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15.1 Положения по бухгалтерскому учету «Учетная политика организации» (ПБУ 1/2008), утверждено Приказом Минфина РФ от 06.10.08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47. Не применять Положение по бухгалтерскому учету «Информация по сегментам».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«Информация по сегментам» (ПБУ 12/2000), утверждено Приказом Минфина РФ от 27.01.00 № 11н.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48. Ошибка признается существенной, если она в отдельности или в совокупности с другими ошибками за один и тот же отчетный период </w:t>
      </w:r>
      <w:r w:rsidRPr="0017624E">
        <w:rPr>
          <w:rFonts w:ascii="Arial" w:eastAsia="Calibri" w:hAnsi="Arial" w:cs="Arial"/>
          <w:color w:val="000000"/>
          <w:szCs w:val="15"/>
          <w:shd w:val="clear" w:color="auto" w:fill="FFFFFF"/>
        </w:rPr>
        <w:t xml:space="preserve"> 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может повлиять на экономические решения пользователей, принимаемые ими на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снове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бухгалтерской отчетности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составленной за этот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отчетный 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период</w:t>
      </w:r>
      <w:r w:rsidRPr="0017624E">
        <w:rPr>
          <w:rFonts w:ascii="Arial" w:eastAsia="Times New Roman" w:hAnsi="Arial" w:cs="Arial"/>
          <w:color w:val="000000"/>
          <w:szCs w:val="15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Положения по бухгалтерскому учету «Исправление ошибок в бухгалтерском учете и отчетности» (ПБУ 22/2010), утверждено Приказом Минфина РФ от 28.06.10 № 63н.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49. Существенную ошибку предшествующего отчетного года, выявленную после утверждения бухгалтерской отчетности за этот год, исправлять по упрощенной системе.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Приказа Минфина РФ от 02.07.2010 N 66н «О формах бухгалтерской отчетности организаций».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E2D5C">
        <w:rPr>
          <w:rFonts w:ascii="Arial" w:eastAsia="Times New Roman" w:hAnsi="Arial" w:cs="Arial"/>
          <w:sz w:val="24"/>
          <w:szCs w:val="24"/>
        </w:rPr>
        <w:t>50. Формировать представляемую бухгалтерскую отчетность с помощью специализированной бухгалтерской компьютерной программы 1С Управление производственным предприятием.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 xml:space="preserve">51. Утвердить в качестве первичных учетных документов, составляемых на бумажном носителе и (или) в виде электронного документа, подписанного электронной подписью формируемые специализированной бухгалтерской компьютерной программой 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52. Утвердить в качестве регистров бухгалтерского учета, составляемых на бумажном носителе и (или) в виде электронного документа, подписанного электронной подписью бухгалтерской службой как структурным подразделением, возглавляемым главным бухгалтером.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53. Ответственность за организацию бухгалтерского учета и организацию хранения документов бухгалтерского учета возлагается на руководителя.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54. Бухгалтерский учет осуществляется бухгалтерией предприятия под руководством главного бухгалтера.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22236">
        <w:rPr>
          <w:rFonts w:ascii="Arial" w:eastAsia="Times New Roman" w:hAnsi="Arial" w:cs="Arial"/>
          <w:sz w:val="24"/>
          <w:szCs w:val="24"/>
        </w:rPr>
        <w:t>55.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обязательств. Утвердить случаи, при которых она проводится, сроки, порядок проведения, а также перечень объектов, подлежащих инвентаризации. // Приложение 1.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56. Утвердить право подписи доверенностей на получение товарно-материальных ценностей Генеральный директор, Зам. Генерального директора, Начальник финансового управления, Главный бухгалтер, Зам. Главного бухгалтера.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57. Установить сроки: </w:t>
      </w:r>
      <w:r w:rsidRPr="00731C09">
        <w:rPr>
          <w:rFonts w:ascii="Arial" w:eastAsia="Times New Roman" w:hAnsi="Arial" w:cs="Arial"/>
          <w:sz w:val="24"/>
          <w:szCs w:val="24"/>
        </w:rPr>
        <w:t>10 дней использования доверенности, 20 дней отчетности по доверенности.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58. Ответственность за организацию работ по ведению учета, хранения и выдачи трудовых книжек и исполнительных листов возложить на Начальника отдела кадров.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59. Предусмотреть внесение изменений в учетную политику на 2014-2015г.г. в случаях: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изменения требований, установленных законодательством Российской Федерации о бухгалтерском учете, федеральными и (или) отраслевыми стандартами;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разработки или выборе нового способа ведения бухгалтерского учета, применение которого приводит к повышению качества информации об объекте бухгалтерского учета;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появление фактов хозяйственной деятельности, которые отличны по существу от фактов, имевших место ранее, или возникли впервые в деятельности организации;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существенного изменения условий деятельности экономического субъекта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1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Инвентаризация активов и обязательств.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 в следующих случаях, в следующие сроки и в следующем объеме перед составлением годовой бухгалтерской отчетности: дата начала инвентаризации – не ранее, чем 1 числа декабря месяца отчетного года, дата окончания инвентаризации – не позднее, чем 31 числа декабря месяца года, следующего за отчетным. Инвентаризации подлежат все активы и обязательства предприятия.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Инвентаризацию проводить в порядке, предусмотренном Приказом Минфина РФ от 13.06.1995 № 49 «Об утверждении Методических указаний по инвентаризации имущества и финансовых обязательств». Инвентаризационная комиссия создается отдельным приказом Генерального директора.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377B02">
        <w:rPr>
          <w:rFonts w:ascii="Arial" w:eastAsia="Times New Roman" w:hAnsi="Arial" w:cs="Arial"/>
          <w:sz w:val="24"/>
          <w:szCs w:val="24"/>
        </w:rPr>
        <w:t xml:space="preserve">4. Для проведения внезапной ревизии касс создать комиссию в составе трех человек: </w:t>
      </w:r>
      <w:r w:rsidRPr="00377B02">
        <w:rPr>
          <w:rFonts w:ascii="Arial" w:eastAsia="Times New Roman" w:hAnsi="Arial" w:cs="Arial"/>
          <w:sz w:val="24"/>
          <w:szCs w:val="24"/>
        </w:rPr>
        <w:br/>
        <w:t>Ефремова Л.А.- юрисконсульт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  <w:t>Пискунова К.Н. - бухгалтер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377B02">
        <w:rPr>
          <w:rFonts w:ascii="Arial" w:eastAsia="Times New Roman" w:hAnsi="Arial" w:cs="Arial"/>
          <w:sz w:val="24"/>
          <w:szCs w:val="24"/>
        </w:rPr>
        <w:t>Ратникова</w:t>
      </w:r>
      <w:proofErr w:type="spellEnd"/>
      <w:r w:rsidRPr="00377B02">
        <w:rPr>
          <w:rFonts w:ascii="Arial" w:eastAsia="Times New Roman" w:hAnsi="Arial" w:cs="Arial"/>
          <w:sz w:val="24"/>
          <w:szCs w:val="24"/>
        </w:rPr>
        <w:t xml:space="preserve"> Ю.В. -бухгалтер-кассир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Установить периодичность проведения ревизии касс раз в месяц. 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2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Правила соблюдения порядка ведения кассовых операций.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Лимит остатка наличных денег в кассе головного предприятия и в кассах обособленных подразделений устанавливается отдельным приказом руководителя на основании расчета, представленного главным бухгалтером. Величина лимита корректируется по мере необходимости.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В качестве места для проведения кассовых операций и хранения максимально допустимой суммы денежной наличности определить следующие помещения по месту нахождения обособленных подразделений: </w:t>
      </w:r>
      <w:r>
        <w:rPr>
          <w:rFonts w:ascii="Arial" w:eastAsia="Times New Roman" w:hAnsi="Arial" w:cs="Arial"/>
          <w:sz w:val="24"/>
          <w:szCs w:val="24"/>
        </w:rPr>
        <w:br/>
        <w:t>а)касса предприятия (в бухгалтерии предприятия);</w:t>
      </w:r>
      <w:r>
        <w:rPr>
          <w:rFonts w:ascii="Arial" w:eastAsia="Times New Roman" w:hAnsi="Arial" w:cs="Arial"/>
          <w:sz w:val="24"/>
          <w:szCs w:val="24"/>
        </w:rPr>
        <w:br/>
        <w:t>б)кассы подразделений, в т.ч.: бар, общежитие, кассы ледового катка, кассы аттракционов, кассы кинотеатра.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Приказ об установлении лимита хранится в папке общих приказов по предприятию.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В качестве мероприятий по обеспечению сохранности наличных денег при ведении кассовых операций, хранении и транспортировке утвердить следующие правила: При транспортировке денежных средств из учреждений банков или сдаче в них руководитель предприятия должен предоставить кассиру охрану и, в случае необходимости, - транспортное средство. При транспортировке денежных средств кассиру, сопровождающим его лицам и водителю транспортного средства запрещается:</w:t>
      </w:r>
      <w:r>
        <w:rPr>
          <w:rFonts w:ascii="Arial" w:eastAsia="Times New Roman" w:hAnsi="Arial" w:cs="Arial"/>
          <w:sz w:val="24"/>
          <w:szCs w:val="24"/>
        </w:rPr>
        <w:br/>
        <w:t>разглашать маршрут движения и размер суммы доставляемых денежных средств;</w:t>
      </w:r>
      <w:r>
        <w:rPr>
          <w:rFonts w:ascii="Arial" w:eastAsia="Times New Roman" w:hAnsi="Arial" w:cs="Arial"/>
          <w:sz w:val="24"/>
          <w:szCs w:val="24"/>
        </w:rPr>
        <w:br/>
        <w:t>допускать в салон транспортного средства лиц, не назначенных руководителем предприятия для их доставки;</w:t>
      </w:r>
      <w:r>
        <w:rPr>
          <w:rFonts w:ascii="Arial" w:eastAsia="Times New Roman" w:hAnsi="Arial" w:cs="Arial"/>
          <w:sz w:val="24"/>
          <w:szCs w:val="24"/>
        </w:rPr>
        <w:br/>
        <w:t>следовать пешком, попутным или общественным транспортом;</w:t>
      </w:r>
      <w:r>
        <w:rPr>
          <w:rFonts w:ascii="Arial" w:eastAsia="Times New Roman" w:hAnsi="Arial" w:cs="Arial"/>
          <w:sz w:val="24"/>
          <w:szCs w:val="24"/>
        </w:rPr>
        <w:br/>
        <w:t>посещать магазины, рынки и другие т.п. места;</w:t>
      </w:r>
      <w:r>
        <w:rPr>
          <w:rFonts w:ascii="Arial" w:eastAsia="Times New Roman" w:hAnsi="Arial" w:cs="Arial"/>
          <w:sz w:val="24"/>
          <w:szCs w:val="24"/>
        </w:rPr>
        <w:br/>
        <w:t>выполнять какие-либо поручения и любым иным образом отвлекаться от доставления денег по назначению.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6986" cy="9744315"/>
            <wp:effectExtent l="19050" t="0" r="0" b="0"/>
            <wp:docPr id="3" name="Рисунок 3" descr="Y:\otdel\ПЭО\ПАО МУССОН\ОСА\ОСА_2015\Образцы ежеквартальных отчетов\Ежеквартальный отчет за 2015 г\Приложение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Образцы ежеквартальных отчетов\Ежеквартальный отчет за 2015 г\Приложение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33" cy="975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налогообложению, не превышает 5 процентов общей величины совокупных расходов на производство все суммы налога, предъявленные продавцами используемых в производстве товаров (работ, услуг), имущественных прав в указанном налоговом периоде, подлежат вычету в соответствии с порядком, предусмотренным статьей 172 Налогового Кодекса.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При определении доли совокупных расходов на приобретение, производство и (или) реализацию товаров (работ, услуг), имущественных прав, операции по реализации которых не подлежат налогообложению, затраты на приобретение товаров (работ, услуг), имущественных прав, использованных одновременно для осуществления как облагаемых, так и необлагаемых операций, отнесенные на расходы отчетного периода и приходящиеся на не облагаемые операции, определяются пропорционально доле выручки от не облагаемых НДС операций в общей сумме выручки от реализации.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12.02.2013 № 03-07-11/3574; Письмо ФНС РФ от 22.03.2011 N КЕ-4-3/4475.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Налог на добавленную стоимость по товарам (работам, услугам), имущественным правам, используемым одновременно для осуществления как облагаемых, так и необлагаемых (либо облагаемых в специальном порядке) операций, принимается к вычету либо учитывается в их стоимости в той пропорции, в которой они используются для осуществления соответствующих операций расходы на электроэнергию, воду, канализацию, газ, отопление..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Если в течение налогового периода отгрузка товаров (выполнение работ, оказание услуг) не осуществляется или осуществляется отгрузка (выполнение, оказание) только облагаемых либо только освобождаемых от налогообложения (или облагаемых в специальном порядке) товаров (работ, услуг), то указанная пропорция определяется за предшествующий налоговый период.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26.09.2014 № 03-07-11/48281.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По основным средствам и нематериальным активам, используемым одновременно для осуществления как облагаемых, так и необлагаемых (либо облагаемых в специальном порядке) операций, и принимаемым к учету в первом или втором месяцах квартала, вышеуказанную пропорцию определять исходя из стоимости (без учета НДС) отгруженных товаров (работ, услуг), имущественных прав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Осуществлять ведение журнала учета полученных и выставленных счетов-фактур, книги покупок и книги продаж, а также дополнительных листов к ним в электронном виде с использованием компьютерной программы 1С Предприятие.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Утвердить следующий порядок нумерации, составления и оформления счетов-фактур, а также ведения журнала учета полученных и выставленных </w:t>
      </w:r>
      <w:r>
        <w:rPr>
          <w:rFonts w:ascii="Arial" w:eastAsia="Times New Roman" w:hAnsi="Arial" w:cs="Arial"/>
          <w:sz w:val="24"/>
          <w:szCs w:val="24"/>
        </w:rPr>
        <w:lastRenderedPageBreak/>
        <w:t>счетов-фактур, книги покупок и книги продаж, а также дополнительных листов к ним при реализации товаров (выполнении работ, оказании услуг), в том числе через обособленные подразделения: нумерация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порядке возрастания номеров в целом по организации. составление и оформление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всех случаев реализации, включая реализацию через обособленные подразделения, в головной организации. ведение журнала учета полученных и выставленных счетов-фактур, книги покупок и книги продаж, а также дополнительных листов к ним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выставленных и полученных счетов-фактур через головную организацию - в головной организации; в отношении выставленных и полученных счетов-фактур через обособленные подразделения - в обособленном подразделении с последующей передачей в головную организацию.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Контроль за правильностью ведения журнала учета полученных и выставленных счетов-фактур, книги покупок и книги продаж, а также дополнительных листов к ним осуществляет уполномоченное приказом по предприятию лицо.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Постановление Правительства РФ «О формах и правилах заполнения (ведения) документов, применяемых при расчетах по налогу на добавленную стоимость» от 26.12.2011 г. № 1137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При обнаружении ошибок (искажений) в исчислении налоговой базы, относящихся к прошлым налоговым периодам, в текущем налоговом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Федерации; Письмо Минфина России от 07.12.2010 № 03-07-11/476; Письмо Минфина России от 02.09.2011 № 03-03-06/1/539.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Применять вычет по налогу на добавленную стоимость в более позднем периоде, чем возникло право на него.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27 Постановления Пленума ВАС РФ от 30.05.2014 N 33 "О некоторых вопросах, возникающих у арбитражных судов при рассмотрении дел, связанных с взиманием налога на добавленную стоимость"; Письмо Минфина России от 12.03.2013 № 03-07-10/7374.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Подтверждать дату фактического получения счетов-фактур записью в журнале регистрации входящей корреспонденции.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02.10.2013 № 03-07-09/40889.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прибыль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Налоговый учет в 2015 году вести смешанным способом, как с применением регистров бухгалтерского учета по отдельным группам хозяйственных операций, </w:t>
      </w:r>
      <w:r>
        <w:rPr>
          <w:rFonts w:ascii="Arial" w:eastAsia="Times New Roman" w:hAnsi="Arial" w:cs="Arial"/>
          <w:sz w:val="24"/>
          <w:szCs w:val="24"/>
        </w:rPr>
        <w:lastRenderedPageBreak/>
        <w:t>так и с применением специализированных регистров налогового учета по тем группам хозяйственных операций, налоговый учет которых существенно отличается от правил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313, 314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Дата получения дохода (осуществления расхода) определяется по методу начисления.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271, 273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Доходы от сдачи имущества в аренду признавать доходами от реализации товаров (работ, услуг).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По затратам, которые с равными основаниями могут быть отнесены одновременно к нескольким группам расходов, определить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В случае совмещения ОСНО с ЕНВД расходы общего характера распределяются пропорционально доходам нарастающим итогом.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17.11.2008 N 03-11-02/130; Письмо Минфина РФ от 17.03.2008 N 03-11-04/3/121.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</w:rPr>
        <w:t>Внереализационные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доходы общего характера распределяются пропорционально доходам от реализации не распределяются.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25.01.2012 N 03-11-06/3/3; Письмо Минфина РФ от 15.12.2009 N 03-11-06/3/291.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В случае, если сделка не содержит условий, позволяющих определить момент возникновения расходов, и связь между доходами и расходами не может быть определена четко или определяется косвенным путем, расходы распределяются ежемесячно равными долями в течение времени с момента исполнения сделки и до окончания налогового периода, в котором данная сделка была исполнена.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 прямым расходам, связанным с производством и реализацией товаров (работ, услуг) относятся все материальные расходы, определяемые согласно статье 254 НК РФ, за исключением общехозяйственного назначения; расходы на оплату труда персонала, участвующего в процессе производства и реализации товаров (работ, услуг), кроме сотрудников АУП; взносы на обязательное страхование, начисленные на вышеуказанные суммы расходов на оплату труда; суммы начисленной амортизации по основным средствам, используемым при производстве и реализации товаров (работ, услуг), за исключением общехозяйственного назначения; услуги сторонних организаций.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318 гл. 25 «Налог на прибыль» НК РФ; Письмо ФНС РФ от 24.02.2011 N КЕ-4-3/2952@.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9. В случае оказания организацией услуг, суммы прямых расходов, понесенных в текущем отчетном (налоговом) периоде при осуществлении этой деятельности в полном объеме относить на уменьшение доходов от производства и реализации данного отчетного (налогового) периода без распределения на остатки незавершенного производства.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318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В случае, если отдельные прямые расходы отнести к конкретному производственному процессу по изготовлению данного вида продукции (работ, услуг) невозможно, их следует распределять пропорционально заработной плате работников предприятия, непосредственно осуществляющих конкретный производственный процесс.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Формировать стоимость товаров, приобретенных с целью их дальнейшей реализации без учета расходов, связанных с приобретением товаров.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ст. 320 гл. 25 «Налог на прибыль» НК РФ. Примечание. Для различных групп материально-производственных запасов в зависимости от их характеристик возможно применение различных методов списания их стоимости (Письмо Минфина России от 29 ноября 2013 года № 03-03-06/1/51819). При этом порядок оценки материально-производственных запасов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 определении размера материальных расходов при списании сырья и материалов, используемых при производстве (изготовлении) товаров (выполнении работ, оказании услуг), в соответствии с принятой организацией учетной политикой для целей налогообложения применяется один из следующих методов оценки указанного сырья и материалов метод оценки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8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При реализации покупных товаров стоимость приобретения данных товаров списывается на расходы по стоимости первых по времени приобретения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 ст. 268 гл. 25 «Налог на прибыль» НК РФ. Примечание. Для различных групп товаров в зависимости от их характеристик возможно применение различных методов списания их стоимости (Письмо Минфина России от 1 августа 2006 года № 03-03-04/1/616). При этом порядок оценки покупных товаров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При реализации или ином выбытии ценных бумаг стоимость выбывших ценных бумаг списывается на расходы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280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15. Определять расчетную цену ценных бумаг, не обращающихся на организованном рынке ценных бумаг как оценочную стоимость ценной бумаги, </w:t>
      </w:r>
      <w:r>
        <w:rPr>
          <w:rFonts w:ascii="Arial" w:eastAsia="Times New Roman" w:hAnsi="Arial" w:cs="Arial"/>
          <w:sz w:val="24"/>
          <w:szCs w:val="24"/>
        </w:rPr>
        <w:lastRenderedPageBreak/>
        <w:t>определенную оценщиком.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Приказа ФСФР РФ от 09.11.2010 N 10-66/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пз-н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Начислять амортизацию по объектам основных средств линейным методом.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Расходы на капитальные вложения и расходы, понесенные в случаях достройки, дооборудования, реконструкции, модернизации, технического перевооружения, частичной ликвидации основных средств (далее по тексту – «амортизационная премия») в состав расходов отчетного (налогового) периода включать, предельный размер отчислений составляет - 10% (но не более 10% первоначальной стоимости основных средств и не более 30 процентов - в отношении основных средств, относящихся к третьей - седьмой амортизационным группам).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18. Применять амортизационную премию в отношении основных средств с первоначальной стоимостью не </w:t>
      </w:r>
      <w:proofErr w:type="spellStart"/>
      <w:r>
        <w:rPr>
          <w:rFonts w:ascii="Arial" w:eastAsia="Times New Roman" w:hAnsi="Arial" w:cs="Arial"/>
          <w:sz w:val="24"/>
          <w:szCs w:val="24"/>
        </w:rPr>
        <w:t>менеe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100000 рублей.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13.03.2006 N 03-03-04/1/219; Письмо Минфина РФ от 17.11.2006 N 03-03-04/1/779.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19. В отношении амортизируемых основных средств (кроме основных средств, относящихся к первой, второй и третьей амортизационным группам), которые являются предметом договора финансовой аренды (договора лизинга), к основной норме амортизации применять специальный коэффициент устанавливаемый по каждому договору индивидуально согласно приказу по предприятию (но не выше 3).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259.3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По объектам основных средств, бывшим в эксплуатации, норма амортизации определяется с учетом срока эксплуатации имущества предыдущими собственниками.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Стоимость инструментов, приспособлений, инвентаря, приборов, лабораторного оборудования, спецодежды и других предметов, не являющихся амортизируемым имуществом, включается в состав материальных расходов в полной сумме по мере ввода его в эксплуатацию.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При исчислении сумм авансовых платежей, а также сумм налога, подлежащих зачислению в доходную часть бюджетов субъектов Российской Федерации, по месту нахождения организации, а также по месту нахождения каждого из ее обособленных подразделений учитывать показатель среднесписочной численности работников.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288 гл. 25 «Налог на прибыль» НК РФ; Письмо Минфина России от 06.07.2005 № 03-03-02/16.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23. Сумма ежемесячных авансовых платежей определяется равными долями в размере одной трети фактически исчисленного квартального авансового платежа за квартал, предшествующий кварталу, в котором производится уплата ежемесячных авансовых платежей (в первом квартале – исходя из прибыли за третий квартал предыдущего налогового периода).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 В целях покрытия убытков по безнадежным долгам по результатам проведенной в конце предыдущего отчетного (налогового) периода инвентаризации дебиторской задолженности резервы по сомнительным долгам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ст. 266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Для проведения ремонта основных средств резерв предстоящих расходов на ремонт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324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Резерв предстоящих расходов на оплату отпусков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Резерв предстоящих расходов на выплату ежегодных вознаграждений за выслугу лет и по итогам работы за год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Размер убытка от уступки права требования, которая была произведена третьему лицу до наступления предусмотренного договором о реализации товаров (работ, услуг) срока платежа, будет определяться исходя из ставки процента, подтвержденной в соответствии с методами, установленными разд. V.1 НК РФ по указанному долговому обязательству.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По нематериальным активам, указанным в подпунктах 1 - 3, 5, 6 абзаца третьего пункта 3 статьи 257 Налогового Кодекса, определять срок полезного использования самостоятельно (но не менее двух лет).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имущество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В случае, если часть имущества не будет облагаться данным налогом (относиться к </w:t>
      </w:r>
      <w:proofErr w:type="spellStart"/>
      <w:r>
        <w:rPr>
          <w:rFonts w:ascii="Arial" w:eastAsia="Times New Roman" w:hAnsi="Arial" w:cs="Arial"/>
          <w:sz w:val="24"/>
          <w:szCs w:val="24"/>
        </w:rPr>
        <w:t>льготируемому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либо использоваться в деятельности, облагаемой </w:t>
      </w:r>
      <w:r>
        <w:rPr>
          <w:rFonts w:ascii="Arial" w:eastAsia="Times New Roman" w:hAnsi="Arial" w:cs="Arial"/>
          <w:sz w:val="24"/>
          <w:szCs w:val="24"/>
        </w:rPr>
        <w:lastRenderedPageBreak/>
        <w:t>единым налогом на вмененный доход),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облагаемого и необлагаемого имущества. Если отдельные объекты основных средств используются в сферах деятельности, как переведенных на уплату единого налога, так и не переведенных, и по данным предметам невозможно обеспечить раздельный бухгалтерский учет, то стоимость имущества, являющегося объектом налогообложения, следует определять пропорционально сумме выручки от реализации продукции (работ, услуг), полученной в процессе иной деятельности, в общей сумме выручки от реализации продукции (работ, услуг) организации в разрезе каждого квартала и без последующего пересчета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01.11.2006 № 03-11-04/3/482. Письмо Минфина России от 26.10.2006 № 03-06-01-04/195.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Страховые взносы в Пенсионный фонд, Фонд социального страхования, Федеральный и территориальный фонды обязательного медицинского страхования</w:t>
      </w:r>
    </w:p>
    <w:p w:rsidR="00DC1670" w:rsidRDefault="00DC1670" w:rsidP="00DC1670">
      <w:pPr>
        <w:ind w:firstLine="335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случае, если наряду с деятельностью, подлежащей налогообложению единым налогом на вмененный доход, будут осуществляться иные виды предпринимательской деятельности,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выплат и иных вознаграждений, начисленных в пользу работников. При этом, если с помощью прямого счета невозможно выделить суммы выплат, начисленных работникам, занятым в нескольких видах деятельности, то расчет выплат, начисленных таким работникам, производится пропорционально размеру выручки (без учета НДС), полученной от видов деятельности, не переведенных на уплату единого налога на вмененный доход, в общей сумме выручки (без учета НДС), полученной от всех видов деятельности, в разрезе каждого месяца и без последующего пересчета. В указанном порядке осуществляется также распределение суммы расходов на выплату пособий по временной нетрудоспособности за месяц, в котором она наступила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346.26 гл. 26.3 «Система налогообложения в виде единого налога на вмененный доход для отдельных видов деятельности» НК РФ; Письмо Минфина России от 16.04.2009 № 03-11-06/3/97.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</w:p>
    <w:p w:rsidR="00DC1670" w:rsidRDefault="00DC1670" w:rsidP="00DC1670">
      <w:pPr>
        <w:ind w:firstLine="335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/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>Налог на доходы физических лиц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формы регистров налогового учета и порядок отражения в них аналитических данных налогового учета и данных первичных учетных документов (приложение № 1-н).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230 гл. 23 «Налог на доходы физических лиц»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I. Предусмотреть возможность внесения уточнений и дополнений в учетную политику предприятия за 2015 год в связи с изменениями налогового законодательства либо появлением хозяйственных операций, отражение которых в налоговом учете предусмотрено несколькими методами, выбор которых возложен законодательством на предприятие, а также по иным причинам.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II. Ответственность за организацию ведения ведение налогового учета на предприятии возложить на гл.бухгалтера Посникова В.Е.</w:t>
      </w:r>
    </w:p>
    <w:p w:rsidR="00DC1670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0E7C70" w:rsidP="00792D48">
      <w:pPr>
        <w:ind w:left="-567"/>
      </w:pPr>
      <w:r>
        <w:rPr>
          <w:noProof/>
        </w:rPr>
        <w:lastRenderedPageBreak/>
        <w:pict>
          <v:shape id="_x0000_s1033" type="#_x0000_t202" style="position:absolute;left:0;text-align:left;margin-left:-27pt;margin-top:694pt;width:68.55pt;height:55.7pt;z-index:251666432;mso-position-vertical:absolute;mso-width-relative:margin;mso-height-relative:margin" strokecolor="#eeece1 [3214]">
            <v:textbox>
              <w:txbxContent>
                <w:p w:rsidR="000E7C70" w:rsidRDefault="000E7C70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442040" cy="9095975"/>
            <wp:effectExtent l="19050" t="0" r="0" b="0"/>
            <wp:docPr id="5" name="Рисунок 2" descr="Y:\otdel\ПЭО\ПАО МУССОН\ОСА\ОСА_2015\Образцы ежеквартальных отчетов\сканирование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сканирование0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71" cy="910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D6B">
        <w:rPr>
          <w:noProof/>
        </w:rPr>
        <w:pict>
          <v:shape id="_x0000_s1031" type="#_x0000_t202" style="position:absolute;left:0;text-align:left;margin-left:-38.1pt;margin-top:651.5pt;width:68.55pt;height:70.35pt;z-index:251664384;mso-position-horizontal-relative:text;mso-position-vertical:absolute;mso-position-vertical-relative:text;mso-width-relative:margin;mso-height-relative:margin" stroked="f">
            <v:textbox style="mso-next-textbox:#_x0000_s1031">
              <w:txbxContent>
                <w:p w:rsidR="002E3812" w:rsidRDefault="002E3812"/>
              </w:txbxContent>
            </v:textbox>
          </v:shape>
        </w:pict>
      </w:r>
      <w:r w:rsidR="00EE0D6B">
        <w:rPr>
          <w:noProof/>
        </w:rPr>
        <w:pict>
          <v:shape id="_x0000_s1029" type="#_x0000_t202" style="position:absolute;left:0;text-align:left;margin-left:-15.2pt;margin-top:33.25pt;width:32.2pt;height:30.1pt;z-index:251662336;mso-position-horizontal-relative:text;mso-position-vertical-relative:text;mso-width-relative:margin;mso-height-relative:margin" stroked="f">
            <v:textbox>
              <w:txbxContent>
                <w:p w:rsidR="002B4742" w:rsidRDefault="002B4742"/>
              </w:txbxContent>
            </v:textbox>
          </v:shape>
        </w:pict>
      </w:r>
    </w:p>
    <w:sectPr w:rsidR="002B4742" w:rsidSect="00481446">
      <w:footerReference w:type="default" r:id="rId11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8E" w:rsidRDefault="00F8348E" w:rsidP="00F8348E">
      <w:pPr>
        <w:spacing w:after="0" w:line="240" w:lineRule="auto"/>
      </w:pPr>
      <w:r>
        <w:separator/>
      </w:r>
    </w:p>
  </w:endnote>
  <w:end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7126"/>
      <w:docPartObj>
        <w:docPartGallery w:val="Page Numbers (Bottom of Page)"/>
        <w:docPartUnique/>
      </w:docPartObj>
    </w:sdtPr>
    <w:sdtContent>
      <w:p w:rsidR="00F8348E" w:rsidRDefault="00EE0D6B">
        <w:pPr>
          <w:pStyle w:val="a8"/>
        </w:pPr>
        <w:fldSimple w:instr=" PAGE   \* MERGEFORMAT ">
          <w:r w:rsidR="000E7C70">
            <w:rPr>
              <w:noProof/>
            </w:rPr>
            <w:t>45</w:t>
          </w:r>
        </w:fldSimple>
      </w:p>
    </w:sdtContent>
  </w:sdt>
  <w:p w:rsidR="00F8348E" w:rsidRDefault="00F834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8E" w:rsidRDefault="00F8348E" w:rsidP="00F8348E">
      <w:pPr>
        <w:spacing w:after="0" w:line="240" w:lineRule="auto"/>
      </w:pPr>
      <w:r>
        <w:separator/>
      </w:r>
    </w:p>
  </w:footnote>
  <w:foot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48"/>
    <w:rsid w:val="000E7C70"/>
    <w:rsid w:val="001F2230"/>
    <w:rsid w:val="002B4742"/>
    <w:rsid w:val="002E3812"/>
    <w:rsid w:val="004369E0"/>
    <w:rsid w:val="00481446"/>
    <w:rsid w:val="005777CC"/>
    <w:rsid w:val="00627163"/>
    <w:rsid w:val="006A575D"/>
    <w:rsid w:val="00792D48"/>
    <w:rsid w:val="008600BE"/>
    <w:rsid w:val="00864861"/>
    <w:rsid w:val="00C75AD5"/>
    <w:rsid w:val="00CF1A2B"/>
    <w:rsid w:val="00D038A5"/>
    <w:rsid w:val="00DC1670"/>
    <w:rsid w:val="00EE0D6B"/>
    <w:rsid w:val="00F8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67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348E"/>
  </w:style>
  <w:style w:type="paragraph" w:styleId="a8">
    <w:name w:val="footer"/>
    <w:basedOn w:val="a"/>
    <w:link w:val="a9"/>
    <w:uiPriority w:val="99"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E7887"/>
    <w:rsid w:val="00627B21"/>
    <w:rsid w:val="00AB3A05"/>
    <w:rsid w:val="00BE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D8F008F6D547038E7E2DF0C0A1B638">
    <w:name w:val="6ED8F008F6D547038E7E2DF0C0A1B638"/>
    <w:rsid w:val="00BE7887"/>
  </w:style>
  <w:style w:type="paragraph" w:customStyle="1" w:styleId="A2965D4FD86B42248BDA0AD76AAFBBBD">
    <w:name w:val="A2965D4FD86B42248BDA0AD76AAFBBBD"/>
    <w:rsid w:val="00AB3A05"/>
  </w:style>
  <w:style w:type="paragraph" w:customStyle="1" w:styleId="63FCE7BDF49341C3899E8C67C4A0A334">
    <w:name w:val="63FCE7BDF49341C3899E8C67C4A0A334"/>
    <w:rsid w:val="00627B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AD4CE-0135-4AE6-9ECF-2C9450A4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23</Pages>
  <Words>6080</Words>
  <Characters>34662</Characters>
  <Application>Microsoft Office Word</Application>
  <DocSecurity>0</DocSecurity>
  <Lines>288</Lines>
  <Paragraphs>81</Paragraphs>
  <ScaleCrop>false</ScaleCrop>
  <Company>Musson Corp.</Company>
  <LinksUpToDate>false</LinksUpToDate>
  <CharactersWithSpaces>40661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12</cp:revision>
  <cp:lastPrinted>2015-06-22T07:43:00Z</cp:lastPrinted>
  <dcterms:created xsi:type="dcterms:W3CDTF">2015-06-19T09:02:00Z</dcterms:created>
  <dcterms:modified xsi:type="dcterms:W3CDTF">2015-08-14T06:10:00Z</dcterms:modified>
</cp:coreProperties>
</file>