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EE3C" w14:textId="77777777" w:rsidR="00CA5D1C" w:rsidRDefault="00D66E3F">
      <w:pPr>
        <w:spacing w:after="0" w:line="259" w:lineRule="auto"/>
        <w:ind w:left="0" w:right="11" w:firstLine="0"/>
        <w:jc w:val="center"/>
      </w:pPr>
      <w:r>
        <w:t xml:space="preserve"> </w:t>
      </w:r>
    </w:p>
    <w:p w14:paraId="035D355D" w14:textId="77777777" w:rsidR="00CA5D1C" w:rsidRDefault="00D66E3F">
      <w:pPr>
        <w:spacing w:after="40" w:line="259" w:lineRule="auto"/>
        <w:ind w:left="0" w:right="13" w:firstLine="0"/>
        <w:jc w:val="right"/>
      </w:pPr>
      <w:r>
        <w:rPr>
          <w:noProof/>
        </w:rPr>
        <w:drawing>
          <wp:inline distT="0" distB="0" distL="0" distR="0" wp14:anchorId="0810E2ED" wp14:editId="0ADE6210">
            <wp:extent cx="6478270" cy="915797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9D4E1CA" w14:textId="77777777" w:rsidR="00CA5D1C" w:rsidRDefault="00D66E3F">
      <w:pPr>
        <w:spacing w:after="0" w:line="259" w:lineRule="auto"/>
        <w:ind w:left="0" w:firstLine="0"/>
        <w:jc w:val="right"/>
      </w:pPr>
      <w:r>
        <w:rPr>
          <w:sz w:val="28"/>
        </w:rPr>
        <w:lastRenderedPageBreak/>
        <w:t xml:space="preserve"> </w:t>
      </w:r>
    </w:p>
    <w:p w14:paraId="66E6D447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06A9616" w14:textId="77777777" w:rsidR="00CA5D1C" w:rsidRDefault="00D66E3F">
      <w:pPr>
        <w:spacing w:after="25" w:line="259" w:lineRule="auto"/>
        <w:ind w:left="0" w:firstLine="0"/>
        <w:jc w:val="left"/>
      </w:pPr>
      <w:r>
        <w:t xml:space="preserve"> </w:t>
      </w:r>
    </w:p>
    <w:p w14:paraId="540CB237" w14:textId="77777777" w:rsidR="00CA5D1C" w:rsidRDefault="00D66E3F">
      <w:pPr>
        <w:spacing w:after="142" w:line="271" w:lineRule="auto"/>
        <w:ind w:left="367" w:right="431"/>
        <w:jc w:val="center"/>
      </w:pPr>
      <w:r>
        <w:rPr>
          <w:b/>
        </w:rPr>
        <w:t xml:space="preserve">Содержание </w:t>
      </w:r>
    </w:p>
    <w:p w14:paraId="061DDB39" w14:textId="77777777" w:rsidR="00CA5D1C" w:rsidRDefault="00D66E3F">
      <w:pPr>
        <w:numPr>
          <w:ilvl w:val="0"/>
          <w:numId w:val="1"/>
        </w:numPr>
        <w:spacing w:after="74"/>
        <w:ind w:right="63" w:hanging="720"/>
      </w:pPr>
      <w:r>
        <w:t xml:space="preserve">Преамбула…………………………………………………………………………………….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3 </w:t>
      </w:r>
    </w:p>
    <w:p w14:paraId="426FDB1F" w14:textId="77777777" w:rsidR="00CA5D1C" w:rsidRDefault="00D66E3F">
      <w:pPr>
        <w:numPr>
          <w:ilvl w:val="0"/>
          <w:numId w:val="1"/>
        </w:numPr>
        <w:spacing w:after="59"/>
        <w:ind w:right="63" w:hanging="720"/>
      </w:pPr>
      <w:r>
        <w:t xml:space="preserve">Краткая характеристика Общества………………………………………………………….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3 </w:t>
      </w:r>
    </w:p>
    <w:p w14:paraId="5835FDB1" w14:textId="77777777" w:rsidR="00CA5D1C" w:rsidRDefault="00D66E3F">
      <w:pPr>
        <w:numPr>
          <w:ilvl w:val="0"/>
          <w:numId w:val="1"/>
        </w:numPr>
        <w:spacing w:after="60"/>
        <w:ind w:right="63" w:hanging="720"/>
      </w:pPr>
      <w:r>
        <w:t xml:space="preserve">Положение Общества в отрасли…………………………………..…..……………………. </w:t>
      </w:r>
      <w:r>
        <w:tab/>
      </w:r>
      <w:r>
        <w:rPr>
          <w:sz w:val="37"/>
          <w:vertAlign w:val="superscript"/>
        </w:rPr>
        <w:t xml:space="preserve">4 </w:t>
      </w:r>
    </w:p>
    <w:p w14:paraId="2A524971" w14:textId="77777777" w:rsidR="00CA5D1C" w:rsidRDefault="00D66E3F">
      <w:pPr>
        <w:numPr>
          <w:ilvl w:val="0"/>
          <w:numId w:val="1"/>
        </w:numPr>
        <w:ind w:right="63" w:hanging="720"/>
      </w:pPr>
      <w:r>
        <w:t xml:space="preserve">Приоритетные направления деятельности Общества ………………..……………………  </w:t>
      </w:r>
      <w:r>
        <w:tab/>
      </w:r>
      <w:r>
        <w:rPr>
          <w:sz w:val="37"/>
          <w:vertAlign w:val="superscript"/>
        </w:rPr>
        <w:t xml:space="preserve">4 </w:t>
      </w:r>
    </w:p>
    <w:p w14:paraId="31D83B3C" w14:textId="77777777" w:rsidR="00CA5D1C" w:rsidRDefault="00D66E3F">
      <w:pPr>
        <w:numPr>
          <w:ilvl w:val="0"/>
          <w:numId w:val="1"/>
        </w:numPr>
        <w:spacing w:after="105"/>
        <w:ind w:right="63" w:hanging="720"/>
      </w:pPr>
      <w:r>
        <w:t xml:space="preserve">Отчет Наблюдательного Совета по приоритетным направлениям деятельности </w:t>
      </w:r>
      <w:r>
        <w:tab/>
        <w:t xml:space="preserve">4 </w:t>
      </w:r>
    </w:p>
    <w:p w14:paraId="4F6535B4" w14:textId="77777777" w:rsidR="00CA5D1C" w:rsidRDefault="00D66E3F">
      <w:pPr>
        <w:spacing w:after="133" w:line="267" w:lineRule="auto"/>
        <w:ind w:left="123"/>
        <w:jc w:val="center"/>
      </w:pPr>
      <w:r>
        <w:t xml:space="preserve">Общества………………………………………………………………………………………. </w:t>
      </w:r>
    </w:p>
    <w:p w14:paraId="78CA0A1C" w14:textId="77777777" w:rsidR="00CA5D1C" w:rsidRDefault="00D66E3F">
      <w:pPr>
        <w:numPr>
          <w:ilvl w:val="0"/>
          <w:numId w:val="1"/>
        </w:numPr>
        <w:spacing w:after="56"/>
        <w:ind w:right="63" w:hanging="720"/>
      </w:pPr>
      <w:r>
        <w:t xml:space="preserve">Основные финансовые показатели Общества в 2023 г……………………………………..  </w:t>
      </w:r>
      <w:r>
        <w:tab/>
      </w:r>
      <w:r>
        <w:rPr>
          <w:sz w:val="37"/>
          <w:vertAlign w:val="superscript"/>
        </w:rPr>
        <w:t xml:space="preserve">5 </w:t>
      </w:r>
    </w:p>
    <w:p w14:paraId="79F2DE90" w14:textId="77777777" w:rsidR="00CA5D1C" w:rsidRDefault="00D66E3F">
      <w:pPr>
        <w:numPr>
          <w:ilvl w:val="1"/>
          <w:numId w:val="1"/>
        </w:numPr>
        <w:spacing w:after="62"/>
        <w:ind w:right="63" w:hanging="696"/>
      </w:pPr>
      <w:r>
        <w:t xml:space="preserve">Выручка………………………………………………………………………………………... </w:t>
      </w:r>
      <w:r>
        <w:tab/>
      </w:r>
      <w:r>
        <w:rPr>
          <w:sz w:val="37"/>
          <w:vertAlign w:val="superscript"/>
        </w:rPr>
        <w:t xml:space="preserve">5 </w:t>
      </w:r>
    </w:p>
    <w:p w14:paraId="75512708" w14:textId="77777777" w:rsidR="00CA5D1C" w:rsidRDefault="00D66E3F">
      <w:pPr>
        <w:numPr>
          <w:ilvl w:val="1"/>
          <w:numId w:val="1"/>
        </w:numPr>
        <w:spacing w:after="60"/>
        <w:ind w:right="63" w:hanging="696"/>
      </w:pPr>
      <w:r>
        <w:t xml:space="preserve">Чистая прибыль……………………………………………………………………………….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5 </w:t>
      </w:r>
    </w:p>
    <w:p w14:paraId="45534D53" w14:textId="77777777" w:rsidR="00CA5D1C" w:rsidRDefault="00D66E3F">
      <w:pPr>
        <w:numPr>
          <w:ilvl w:val="1"/>
          <w:numId w:val="1"/>
        </w:numPr>
        <w:spacing w:after="64"/>
        <w:ind w:right="63" w:hanging="696"/>
      </w:pPr>
      <w:r>
        <w:t xml:space="preserve">Финансовые положения Общества…………………………………………………………..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5 </w:t>
      </w:r>
    </w:p>
    <w:p w14:paraId="27CA46E4" w14:textId="77777777" w:rsidR="00CA5D1C" w:rsidRDefault="00D66E3F">
      <w:pPr>
        <w:numPr>
          <w:ilvl w:val="0"/>
          <w:numId w:val="1"/>
        </w:numPr>
        <w:spacing w:after="62"/>
        <w:ind w:right="63" w:hanging="720"/>
      </w:pPr>
      <w:r>
        <w:t xml:space="preserve">Информация об объемах потребления топливно – энергетических ресурсов …………... </w:t>
      </w:r>
      <w:r>
        <w:tab/>
      </w:r>
      <w:r>
        <w:rPr>
          <w:sz w:val="37"/>
          <w:vertAlign w:val="superscript"/>
        </w:rPr>
        <w:t xml:space="preserve">6 </w:t>
      </w:r>
    </w:p>
    <w:p w14:paraId="160E5539" w14:textId="77777777" w:rsidR="00CA5D1C" w:rsidRDefault="00D66E3F">
      <w:pPr>
        <w:numPr>
          <w:ilvl w:val="0"/>
          <w:numId w:val="1"/>
        </w:numPr>
        <w:spacing w:after="59"/>
        <w:ind w:right="63" w:hanging="720"/>
      </w:pPr>
      <w:r>
        <w:t xml:space="preserve">Перспективы развития Общества………………………………………………………….… </w:t>
      </w:r>
      <w:r>
        <w:tab/>
      </w:r>
      <w:r>
        <w:rPr>
          <w:sz w:val="37"/>
          <w:vertAlign w:val="superscript"/>
        </w:rPr>
        <w:t xml:space="preserve">6 </w:t>
      </w:r>
    </w:p>
    <w:p w14:paraId="3EE82E9E" w14:textId="77777777" w:rsidR="00CA5D1C" w:rsidRDefault="00D66E3F">
      <w:pPr>
        <w:numPr>
          <w:ilvl w:val="0"/>
          <w:numId w:val="1"/>
        </w:numPr>
        <w:spacing w:after="59"/>
        <w:ind w:right="63" w:hanging="720"/>
      </w:pPr>
      <w:r>
        <w:t xml:space="preserve">Отчет о выплате объявленных (начисленных) дивидендов по акциям Общества……….. </w:t>
      </w:r>
      <w:r>
        <w:tab/>
      </w:r>
      <w:r>
        <w:rPr>
          <w:sz w:val="37"/>
          <w:vertAlign w:val="superscript"/>
        </w:rPr>
        <w:t xml:space="preserve">7 </w:t>
      </w:r>
    </w:p>
    <w:p w14:paraId="6C51451A" w14:textId="77777777" w:rsidR="00CA5D1C" w:rsidRDefault="00D66E3F">
      <w:pPr>
        <w:numPr>
          <w:ilvl w:val="0"/>
          <w:numId w:val="1"/>
        </w:numPr>
        <w:spacing w:after="106"/>
        <w:ind w:right="63" w:hanging="720"/>
      </w:pPr>
      <w:r>
        <w:t xml:space="preserve">Описание основных факторов риска, связанных с деятельностью Общества……………. </w:t>
      </w:r>
      <w:r>
        <w:tab/>
      </w:r>
      <w:r>
        <w:rPr>
          <w:sz w:val="37"/>
          <w:vertAlign w:val="superscript"/>
        </w:rPr>
        <w:t xml:space="preserve">7 </w:t>
      </w:r>
    </w:p>
    <w:p w14:paraId="04D4F142" w14:textId="77777777" w:rsidR="00CA5D1C" w:rsidRDefault="00D66E3F">
      <w:pPr>
        <w:numPr>
          <w:ilvl w:val="1"/>
          <w:numId w:val="1"/>
        </w:numPr>
        <w:spacing w:after="120"/>
        <w:ind w:right="63" w:hanging="696"/>
      </w:pPr>
      <w:r>
        <w:t xml:space="preserve">Отраслевые риски……………………………………………………………………………..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7 </w:t>
      </w:r>
    </w:p>
    <w:p w14:paraId="7838195C" w14:textId="77777777" w:rsidR="00CA5D1C" w:rsidRDefault="00D66E3F">
      <w:pPr>
        <w:numPr>
          <w:ilvl w:val="1"/>
          <w:numId w:val="1"/>
        </w:numPr>
        <w:spacing w:after="60"/>
        <w:ind w:right="63" w:hanging="696"/>
      </w:pPr>
      <w:r>
        <w:t xml:space="preserve">Страновые и региональные риски…………………………………………………………… </w:t>
      </w:r>
      <w:r>
        <w:tab/>
      </w:r>
      <w:r>
        <w:rPr>
          <w:sz w:val="37"/>
          <w:vertAlign w:val="superscript"/>
        </w:rPr>
        <w:t xml:space="preserve">8 </w:t>
      </w:r>
    </w:p>
    <w:p w14:paraId="1B31DAF5" w14:textId="77777777" w:rsidR="00CA5D1C" w:rsidRDefault="00D66E3F">
      <w:pPr>
        <w:numPr>
          <w:ilvl w:val="1"/>
          <w:numId w:val="1"/>
        </w:numPr>
        <w:spacing w:after="60"/>
        <w:ind w:right="63" w:hanging="696"/>
      </w:pPr>
      <w:r>
        <w:t xml:space="preserve">Финансовые риски …………………………………………………………………………… </w:t>
      </w:r>
      <w:r>
        <w:tab/>
      </w:r>
      <w:r>
        <w:rPr>
          <w:sz w:val="37"/>
          <w:vertAlign w:val="superscript"/>
        </w:rPr>
        <w:t xml:space="preserve">8 </w:t>
      </w:r>
    </w:p>
    <w:p w14:paraId="62A99848" w14:textId="77777777" w:rsidR="00CA5D1C" w:rsidRDefault="00D66E3F">
      <w:pPr>
        <w:numPr>
          <w:ilvl w:val="1"/>
          <w:numId w:val="1"/>
        </w:numPr>
        <w:spacing w:after="58"/>
        <w:ind w:right="63" w:hanging="696"/>
      </w:pPr>
      <w:r>
        <w:t xml:space="preserve">Правовые риски………………………………………………………………………………..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9 </w:t>
      </w:r>
    </w:p>
    <w:p w14:paraId="1F43F39A" w14:textId="77777777" w:rsidR="00CA5D1C" w:rsidRDefault="00D66E3F">
      <w:pPr>
        <w:numPr>
          <w:ilvl w:val="1"/>
          <w:numId w:val="1"/>
        </w:numPr>
        <w:spacing w:after="63"/>
        <w:ind w:right="63" w:hanging="696"/>
      </w:pPr>
      <w:r>
        <w:t xml:space="preserve">Риск потери деловой репутации (репутационный риск)…………………………………… </w:t>
      </w:r>
      <w:r>
        <w:tab/>
      </w:r>
      <w:r>
        <w:rPr>
          <w:sz w:val="37"/>
          <w:vertAlign w:val="superscript"/>
        </w:rPr>
        <w:t xml:space="preserve">9 </w:t>
      </w:r>
    </w:p>
    <w:p w14:paraId="0CE50E93" w14:textId="77777777" w:rsidR="00CA5D1C" w:rsidRDefault="00D66E3F">
      <w:pPr>
        <w:numPr>
          <w:ilvl w:val="1"/>
          <w:numId w:val="1"/>
        </w:numPr>
        <w:spacing w:after="136"/>
        <w:ind w:right="63" w:hanging="696"/>
      </w:pPr>
      <w:r>
        <w:t xml:space="preserve">Стратегический риск…………………………………………………………………………..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9 </w:t>
      </w:r>
    </w:p>
    <w:p w14:paraId="4A6CD6A6" w14:textId="77777777" w:rsidR="00CA5D1C" w:rsidRDefault="00D66E3F">
      <w:pPr>
        <w:numPr>
          <w:ilvl w:val="1"/>
          <w:numId w:val="1"/>
        </w:numPr>
        <w:spacing w:after="145"/>
        <w:ind w:right="63" w:hanging="696"/>
      </w:pPr>
      <w:r>
        <w:lastRenderedPageBreak/>
        <w:t xml:space="preserve">Риски, связанные с деятельностью эмитента……………………………………………….. </w:t>
      </w:r>
      <w:r>
        <w:tab/>
      </w:r>
      <w:r>
        <w:rPr>
          <w:sz w:val="37"/>
          <w:vertAlign w:val="superscript"/>
        </w:rPr>
        <w:t xml:space="preserve">10 </w:t>
      </w:r>
    </w:p>
    <w:p w14:paraId="4C736F74" w14:textId="77777777" w:rsidR="00CA5D1C" w:rsidRDefault="00D66E3F">
      <w:pPr>
        <w:numPr>
          <w:ilvl w:val="1"/>
          <w:numId w:val="1"/>
        </w:numPr>
        <w:spacing w:after="27"/>
        <w:ind w:right="63" w:hanging="696"/>
      </w:pPr>
      <w:r>
        <w:t xml:space="preserve">Политика эмитента в области управления рисками………………………………………... </w:t>
      </w:r>
      <w:r>
        <w:tab/>
      </w:r>
      <w:r>
        <w:rPr>
          <w:sz w:val="37"/>
          <w:vertAlign w:val="superscript"/>
        </w:rPr>
        <w:t xml:space="preserve">10 </w:t>
      </w:r>
    </w:p>
    <w:p w14:paraId="0387841E" w14:textId="77777777" w:rsidR="00CA5D1C" w:rsidRDefault="00D66E3F">
      <w:pPr>
        <w:numPr>
          <w:ilvl w:val="0"/>
          <w:numId w:val="1"/>
        </w:numPr>
        <w:spacing w:after="40" w:line="338" w:lineRule="auto"/>
        <w:ind w:right="63" w:hanging="720"/>
      </w:pPr>
      <w:r>
        <w:t xml:space="preserve">Перечень совершенных Обществом крупных сделок и сделок, в совершении которых </w:t>
      </w:r>
      <w:r>
        <w:tab/>
        <w:t xml:space="preserve">10 имелась заинтересованность………………………………………………………………… </w:t>
      </w:r>
    </w:p>
    <w:p w14:paraId="00E4379D" w14:textId="77777777" w:rsidR="00CA5D1C" w:rsidRDefault="00D66E3F">
      <w:pPr>
        <w:numPr>
          <w:ilvl w:val="0"/>
          <w:numId w:val="1"/>
        </w:numPr>
        <w:spacing w:after="54"/>
        <w:ind w:right="63" w:hanging="720"/>
      </w:pPr>
      <w:r>
        <w:t xml:space="preserve">Состав Наблюдательного Совета Общества………………………………………………... </w:t>
      </w:r>
      <w:r>
        <w:tab/>
      </w:r>
      <w:r>
        <w:rPr>
          <w:sz w:val="37"/>
          <w:vertAlign w:val="superscript"/>
        </w:rPr>
        <w:t xml:space="preserve">12 </w:t>
      </w:r>
    </w:p>
    <w:p w14:paraId="4E3624CD" w14:textId="77777777" w:rsidR="00CA5D1C" w:rsidRDefault="00D66E3F">
      <w:pPr>
        <w:numPr>
          <w:ilvl w:val="0"/>
          <w:numId w:val="1"/>
        </w:numPr>
        <w:ind w:right="63" w:hanging="720"/>
      </w:pPr>
      <w:r>
        <w:t xml:space="preserve">Генеральный директор Общества…………………………………....................................... </w:t>
      </w:r>
      <w:r>
        <w:tab/>
      </w:r>
      <w:r>
        <w:rPr>
          <w:sz w:val="37"/>
          <w:vertAlign w:val="superscript"/>
        </w:rPr>
        <w:t xml:space="preserve">18 </w:t>
      </w:r>
    </w:p>
    <w:p w14:paraId="0E2EB11B" w14:textId="77777777" w:rsidR="00CA5D1C" w:rsidRDefault="00D66E3F">
      <w:pPr>
        <w:spacing w:after="68"/>
        <w:ind w:left="706" w:right="63"/>
      </w:pPr>
      <w:r>
        <w:t xml:space="preserve">Критерии определения и размер вознаграждения (компенсации расходов) каждого </w:t>
      </w:r>
    </w:p>
    <w:p w14:paraId="304D1594" w14:textId="77777777" w:rsidR="00CA5D1C" w:rsidRDefault="00D66E3F">
      <w:pPr>
        <w:numPr>
          <w:ilvl w:val="0"/>
          <w:numId w:val="1"/>
        </w:numPr>
        <w:spacing w:after="67" w:line="267" w:lineRule="auto"/>
        <w:ind w:right="63" w:hanging="720"/>
      </w:pPr>
      <w:r>
        <w:t xml:space="preserve">члена Наблюдательного совета общества/ общий размер вознаграждения (компенсации </w:t>
      </w:r>
      <w:r>
        <w:tab/>
        <w:t xml:space="preserve">19 расходов) всех этих лиц, выплаченного или выплачиваемого по результатам отчетного года……………………………….………………………………………………………..….. </w:t>
      </w:r>
    </w:p>
    <w:p w14:paraId="18418E28" w14:textId="77777777" w:rsidR="00CA5D1C" w:rsidRDefault="00D66E3F">
      <w:pPr>
        <w:numPr>
          <w:ilvl w:val="0"/>
          <w:numId w:val="1"/>
        </w:numPr>
        <w:spacing w:line="338" w:lineRule="auto"/>
        <w:ind w:right="63" w:hanging="720"/>
      </w:pPr>
      <w:r>
        <w:t xml:space="preserve">Сведения о соблюдении Обществом Кодекса принципа и рекомендаций Кодекса </w:t>
      </w:r>
      <w:r>
        <w:tab/>
        <w:t xml:space="preserve">20 корпоративного управления, рекомендованного к применению Банком России………. </w:t>
      </w:r>
    </w:p>
    <w:p w14:paraId="25F761A2" w14:textId="77777777" w:rsidR="00CA5D1C" w:rsidRDefault="00D66E3F">
      <w:pPr>
        <w:numPr>
          <w:ilvl w:val="0"/>
          <w:numId w:val="1"/>
        </w:numPr>
        <w:spacing w:after="104"/>
        <w:ind w:right="63" w:hanging="720"/>
      </w:pPr>
      <w:r>
        <w:t xml:space="preserve">Сведения об утверждении годового отчета общим собранием акционеров……………..      20 </w:t>
      </w:r>
    </w:p>
    <w:p w14:paraId="1E695A2C" w14:textId="77777777" w:rsidR="00CA5D1C" w:rsidRDefault="00D66E3F">
      <w:pPr>
        <w:spacing w:after="112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4AB5070D" w14:textId="77777777" w:rsidR="00CA5D1C" w:rsidRDefault="00D66E3F">
      <w:pPr>
        <w:spacing w:after="115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1DDC58FD" w14:textId="77777777" w:rsidR="00CA5D1C" w:rsidRDefault="00D66E3F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294E9E87" w14:textId="77777777" w:rsidR="00CA5D1C" w:rsidRDefault="00D66E3F">
      <w:pPr>
        <w:spacing w:after="166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482478DC" w14:textId="77777777" w:rsidR="00CA5D1C" w:rsidRDefault="00D66E3F">
      <w:pPr>
        <w:spacing w:after="148" w:line="271" w:lineRule="auto"/>
        <w:ind w:left="367" w:right="69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Информация о годовом отчете </w:t>
      </w:r>
    </w:p>
    <w:p w14:paraId="3A3D6544" w14:textId="77777777" w:rsidR="00CA5D1C" w:rsidRDefault="00D66E3F">
      <w:pPr>
        <w:ind w:left="-15" w:right="63" w:firstLine="425"/>
      </w:pPr>
      <w:r>
        <w:t xml:space="preserve">Настоящий годовой отчет составлен в соответствии с требованиями Федерального закона «Об акционерных обществах» от 26.12.1995г. № 208-ФЗ, Положением Банка России от 16.11.2018  № 660-П «Об общих собраниях акционеров», Положением о раскрытии информации эмитентами эмиссионных ценных бумаг, утвержденным Положением Банка России от 27.03.2020 № 714-П  «О раскрытии информации эмитентами эмиссионных ценных бумаг». </w:t>
      </w:r>
    </w:p>
    <w:p w14:paraId="6062B745" w14:textId="77777777" w:rsidR="00CA5D1C" w:rsidRDefault="00D66E3F">
      <w:pPr>
        <w:ind w:left="-15" w:right="63" w:firstLine="425"/>
      </w:pPr>
      <w:r>
        <w:t xml:space="preserve">В годовом отчете представлена информация об Акционерном обществе «Муссон» (далее также – АО «Муссон», </w:t>
      </w:r>
      <w:r>
        <w:t xml:space="preserve">Общество, эмитент), приоритетных направлениях деятельности Общества за отчетный период и перспективах его развития. </w:t>
      </w:r>
    </w:p>
    <w:p w14:paraId="461DBC8A" w14:textId="77777777" w:rsidR="00CA5D1C" w:rsidRDefault="00D66E3F">
      <w:pPr>
        <w:ind w:left="-15" w:right="63" w:firstLine="425"/>
      </w:pPr>
      <w:r>
        <w:t xml:space="preserve">Во исполнение пунктов 3,4 статьи 88 Федерального закона «Об акционерных обществах» от 26.12.1995г. № 208-ФЗ в отношении годового отчета АО «Муссон» произведены действия:  </w:t>
      </w:r>
    </w:p>
    <w:p w14:paraId="7DD6D83D" w14:textId="77777777" w:rsidR="00CA5D1C" w:rsidRDefault="00D66E3F">
      <w:pPr>
        <w:numPr>
          <w:ilvl w:val="3"/>
          <w:numId w:val="5"/>
        </w:numPr>
        <w:ind w:right="63" w:hanging="317"/>
      </w:pPr>
      <w:r>
        <w:t xml:space="preserve">достоверность годового отчета подтверждена ревизионной комиссией в заключении ревизионной комиссии по результатам проверки годового отчета от 22.04.2024; </w:t>
      </w:r>
    </w:p>
    <w:p w14:paraId="3632A1C2" w14:textId="77777777" w:rsidR="00CA5D1C" w:rsidRDefault="00D66E3F">
      <w:pPr>
        <w:numPr>
          <w:ilvl w:val="3"/>
          <w:numId w:val="5"/>
        </w:numPr>
        <w:ind w:right="63" w:hanging="317"/>
      </w:pPr>
      <w:r>
        <w:t xml:space="preserve">годовой отчет предварительно утвержден решением Наблюдательного совета Общества </w:t>
      </w:r>
    </w:p>
    <w:p w14:paraId="4F746438" w14:textId="77777777" w:rsidR="00CA5D1C" w:rsidRDefault="00D66E3F">
      <w:pPr>
        <w:ind w:left="-5" w:right="63"/>
      </w:pPr>
      <w:r>
        <w:t xml:space="preserve">(протокол №3 от 26.04.2024 г.); </w:t>
      </w:r>
    </w:p>
    <w:p w14:paraId="3F35A2E4" w14:textId="77777777" w:rsidR="00CA5D1C" w:rsidRDefault="00D66E3F">
      <w:pPr>
        <w:numPr>
          <w:ilvl w:val="3"/>
          <w:numId w:val="5"/>
        </w:numPr>
        <w:ind w:right="63" w:hanging="317"/>
      </w:pPr>
      <w:r>
        <w:t xml:space="preserve">годовой отчет утвержден общим собранием акционеров (протокол № 25 от </w:t>
      </w:r>
      <w:r>
        <w:rPr>
          <w:color w:val="FF0000"/>
        </w:rPr>
        <w:t>17.06.2024</w:t>
      </w:r>
      <w:r>
        <w:t xml:space="preserve">). Годовой отчет АО «Муссон» опубликован на сайте: </w:t>
      </w:r>
      <w:hyperlink r:id="rId8">
        <w:r>
          <w:rPr>
            <w:color w:val="0000FF"/>
            <w:u w:val="single" w:color="0000FF"/>
          </w:rPr>
          <w:t>http</w:t>
        </w:r>
      </w:hyperlink>
      <w:hyperlink r:id="rId9">
        <w:r>
          <w:rPr>
            <w:color w:val="0000FF"/>
            <w:u w:val="single" w:color="0000FF"/>
          </w:rPr>
          <w:t>://</w:t>
        </w:r>
      </w:hyperlink>
      <w:hyperlink r:id="rId10">
        <w:r>
          <w:rPr>
            <w:color w:val="0000FF"/>
            <w:u w:val="single" w:color="0000FF"/>
          </w:rPr>
          <w:t>www</w:t>
        </w:r>
      </w:hyperlink>
      <w:hyperlink r:id="rId11">
        <w:r>
          <w:rPr>
            <w:color w:val="0000FF"/>
            <w:u w:val="single" w:color="0000FF"/>
          </w:rPr>
          <w:t>.</w:t>
        </w:r>
      </w:hyperlink>
      <w:hyperlink r:id="rId12">
        <w:r>
          <w:rPr>
            <w:color w:val="0000FF"/>
            <w:u w:val="single" w:color="0000FF"/>
          </w:rPr>
          <w:t>e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hyperlink r:id="rId14">
        <w:r>
          <w:rPr>
            <w:color w:val="0000FF"/>
            <w:u w:val="single" w:color="0000FF"/>
          </w:rPr>
          <w:t>disclosure</w:t>
        </w:r>
      </w:hyperlink>
      <w:hyperlink r:id="rId15">
        <w:r>
          <w:rPr>
            <w:color w:val="0000FF"/>
            <w:u w:val="single" w:color="0000FF"/>
          </w:rPr>
          <w:t>.</w:t>
        </w:r>
      </w:hyperlink>
      <w:hyperlink r:id="rId16">
        <w:r>
          <w:rPr>
            <w:color w:val="0000FF"/>
            <w:u w:val="single" w:color="0000FF"/>
          </w:rPr>
          <w:t>ru</w:t>
        </w:r>
      </w:hyperlink>
      <w:hyperlink r:id="rId17">
        <w:r>
          <w:t>.</w:t>
        </w:r>
      </w:hyperlink>
      <w:r>
        <w:t xml:space="preserve"> </w:t>
      </w:r>
    </w:p>
    <w:p w14:paraId="07B6E9E9" w14:textId="77777777" w:rsidR="00CA5D1C" w:rsidRDefault="00D66E3F">
      <w:pPr>
        <w:spacing w:after="160" w:line="259" w:lineRule="auto"/>
        <w:ind w:left="428" w:firstLine="0"/>
        <w:jc w:val="left"/>
      </w:pPr>
      <w:r>
        <w:t xml:space="preserve"> </w:t>
      </w:r>
    </w:p>
    <w:p w14:paraId="0F384466" w14:textId="77777777" w:rsidR="00CA5D1C" w:rsidRDefault="00D66E3F">
      <w:pPr>
        <w:spacing w:after="146" w:line="271" w:lineRule="auto"/>
        <w:ind w:left="367"/>
        <w:jc w:val="center"/>
      </w:pPr>
      <w:r>
        <w:rPr>
          <w:b/>
        </w:rPr>
        <w:t xml:space="preserve">2. Сведения об Обществе </w:t>
      </w:r>
    </w:p>
    <w:p w14:paraId="7CA4ABBB" w14:textId="77777777" w:rsidR="00CA5D1C" w:rsidRDefault="00D66E3F">
      <w:pPr>
        <w:ind w:left="-15" w:right="63" w:firstLine="425"/>
      </w:pPr>
      <w:r>
        <w:t xml:space="preserve">2.1.  Акционерное общество «Муссон» основано в соответствии с приказом Фонда государственного имущества Украины от 1 апреля 1996 г. № 38-АТ путем преобразования </w:t>
      </w:r>
      <w:r>
        <w:lastRenderedPageBreak/>
        <w:t xml:space="preserve">государственного предприятия завода им. В.Д.Калмыкова в открытое акционерное общество в соответствии с Указом Президента Украины «О мероприятиях по обеспечению прав граждан на использование приватизационных имущественных сертификатов» от 26 ноября 1994 года  № 699/84 как юридическое лицо, проводящее свою деятельность на территории Украины. В Единый реестр юридических лиц РФ данные об Обществе были внесены 18 сентября 2014 года. В соответствии с решением годового общего собрания акционеров (Протокол 20)  </w:t>
      </w:r>
    </w:p>
    <w:p w14:paraId="545D2B5B" w14:textId="77777777" w:rsidR="00CA5D1C" w:rsidRDefault="00D66E3F">
      <w:pPr>
        <w:ind w:left="-5" w:right="63"/>
      </w:pPr>
      <w:r>
        <w:t xml:space="preserve">ПАО «Муссон» было переименовано в АО «Муссон» (о чём внесена запись в ЕГРЮЛ  </w:t>
      </w:r>
    </w:p>
    <w:p w14:paraId="155516CE" w14:textId="77777777" w:rsidR="00CA5D1C" w:rsidRDefault="00D66E3F">
      <w:pPr>
        <w:ind w:left="-5" w:right="63"/>
      </w:pPr>
      <w:r>
        <w:t xml:space="preserve">16.07.2021 г. за № 2209200301825). </w:t>
      </w:r>
    </w:p>
    <w:p w14:paraId="7C58A104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Полное фирменное наименование эмитента: Акционерное общество "Муссон". Сокращенное фирменное наименование эмитента: АО "Муссон". </w:t>
      </w:r>
    </w:p>
    <w:p w14:paraId="6F2621E4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Основной государственный регистрационный номер юридического лица: 1149204019238. Свидетельство о государственной регистрации: серия 34 №004185562. Дата внесения записи о юридическом лице в единый государственный реестр юридических лиц: 18.09.2014 г. </w:t>
      </w:r>
    </w:p>
    <w:p w14:paraId="24EF2962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Местонахождение и адрес: 299053, г. Севастополь, ул. Вакуленчука, 29/10. </w:t>
      </w:r>
    </w:p>
    <w:p w14:paraId="06134A54" w14:textId="77777777" w:rsidR="00CA5D1C" w:rsidRDefault="00D66E3F">
      <w:pPr>
        <w:ind w:left="435" w:right="63"/>
      </w:pPr>
      <w:r>
        <w:t xml:space="preserve">Почтовый адрес: 299053, г. Севастополь, ул. Вакуленчука, 29/10. </w:t>
      </w:r>
    </w:p>
    <w:p w14:paraId="2D17350F" w14:textId="77777777" w:rsidR="00CA5D1C" w:rsidRDefault="00D66E3F">
      <w:pPr>
        <w:ind w:left="-15" w:right="63" w:firstLine="425"/>
      </w:pPr>
      <w:r>
        <w:t xml:space="preserve">Местонахождение постоянно действующего исполнительного органа: 299053, г. Севастополь, ул. Вакуленчука, 29 корп. 10, телефон: (8692) 47-43-04.  Адрес страницы в сети Интернет: </w:t>
      </w:r>
      <w:hyperlink r:id="rId18">
        <w:r>
          <w:rPr>
            <w:color w:val="0000FF"/>
            <w:u w:val="single" w:color="0000FF"/>
          </w:rPr>
          <w:t>www.musson.su</w:t>
        </w:r>
      </w:hyperlink>
      <w:hyperlink r:id="rId19">
        <w:r>
          <w:t>.</w:t>
        </w:r>
      </w:hyperlink>
      <w:r>
        <w:t xml:space="preserve"> </w:t>
      </w:r>
    </w:p>
    <w:p w14:paraId="6E5B514B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Организационная структура (органы управления и контроля):  </w:t>
      </w:r>
    </w:p>
    <w:p w14:paraId="404AAA13" w14:textId="77777777" w:rsidR="00CA5D1C" w:rsidRDefault="00D66E3F">
      <w:pPr>
        <w:ind w:left="435" w:right="63"/>
      </w:pPr>
      <w:r>
        <w:t xml:space="preserve">-общее собрание акционеров; </w:t>
      </w:r>
    </w:p>
    <w:p w14:paraId="0B6B7040" w14:textId="77777777" w:rsidR="00CA5D1C" w:rsidRDefault="00D66E3F">
      <w:pPr>
        <w:ind w:left="435" w:right="7351"/>
      </w:pPr>
      <w:r>
        <w:t>-</w:t>
      </w:r>
      <w:r>
        <w:t xml:space="preserve">наблюдательный совет; -генеральный директор; -ревизионная комиссия. </w:t>
      </w:r>
    </w:p>
    <w:p w14:paraId="33BDF675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Основной вид деятельности, который является преобладающим, и имеет приоритетное значение для АО «Муссон», – аренда и управление собственным или арендованным недвижимым имуществом (ОКВЭД 68.20.2). </w:t>
      </w:r>
    </w:p>
    <w:p w14:paraId="19A4AA9E" w14:textId="77777777" w:rsidR="00CA5D1C" w:rsidRDefault="00D66E3F">
      <w:pPr>
        <w:ind w:left="435" w:right="63"/>
      </w:pPr>
      <w:r>
        <w:t xml:space="preserve">Общество также осуществляет, но не ограничивается этим, следующие виды деятельности: </w:t>
      </w:r>
    </w:p>
    <w:p w14:paraId="5D322725" w14:textId="77777777" w:rsidR="00CA5D1C" w:rsidRDefault="00D66E3F">
      <w:pPr>
        <w:ind w:left="435" w:right="63"/>
      </w:pPr>
      <w:r>
        <w:t xml:space="preserve">-демонстрация кинофильмов; </w:t>
      </w:r>
    </w:p>
    <w:p w14:paraId="681495AC" w14:textId="77777777" w:rsidR="00CA5D1C" w:rsidRDefault="00D66E3F">
      <w:pPr>
        <w:ind w:left="435" w:right="63"/>
      </w:pPr>
      <w:r>
        <w:t xml:space="preserve">-деятельность гостиниц и прочих мест для временного проживания; </w:t>
      </w:r>
    </w:p>
    <w:p w14:paraId="78BEE283" w14:textId="77777777" w:rsidR="00CA5D1C" w:rsidRDefault="00D66E3F">
      <w:pPr>
        <w:ind w:left="-15" w:right="63" w:firstLine="425"/>
      </w:pPr>
      <w:r>
        <w:t>-</w:t>
      </w:r>
      <w:r>
        <w:t xml:space="preserve">деятельность ресторанов и кафе с полным ресторанным обслуживанием, кафетериев, ресторанов быстрого питания и самообслуживания; </w:t>
      </w:r>
    </w:p>
    <w:p w14:paraId="4E04C588" w14:textId="77777777" w:rsidR="00CA5D1C" w:rsidRDefault="00D66E3F">
      <w:pPr>
        <w:spacing w:after="4" w:line="274" w:lineRule="auto"/>
        <w:ind w:left="435" w:right="664"/>
        <w:jc w:val="left"/>
      </w:pPr>
      <w:r>
        <w:t xml:space="preserve">-деятельность парков с аттракционами (деятельность зрелищно-развлекательная прочая); -деятельность в области спорта прочая и физкультурно-оздоровительная; -деятельность по предоставлению прочих мест для временного проживания. </w:t>
      </w:r>
    </w:p>
    <w:p w14:paraId="281ADBAF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Размер уставного капитала Общества: 16862413,87 рублей (шестнадцать миллионов восемьсот шестьдесят две тысячи четыреста тринадцать рублей 87 копеек). </w:t>
      </w:r>
    </w:p>
    <w:p w14:paraId="296A83EB" w14:textId="77777777" w:rsidR="00CA5D1C" w:rsidRDefault="00D66E3F">
      <w:pPr>
        <w:ind w:left="435" w:right="63"/>
      </w:pPr>
      <w:r>
        <w:t xml:space="preserve">Дополнительного выпуска акций в 2023 году не производилось. </w:t>
      </w:r>
    </w:p>
    <w:p w14:paraId="7653A2D0" w14:textId="77777777" w:rsidR="00CA5D1C" w:rsidRDefault="00D66E3F">
      <w:pPr>
        <w:ind w:left="-15" w:right="63" w:firstLine="425"/>
      </w:pPr>
      <w:r>
        <w:t xml:space="preserve">Номинальная стоимость одной акции 0,77269 (ноль целых семьдесят семь тысяч двести шестьдесят девять стотысячных) рублей. Вид акций – обыкновенные, бездокументарные, именные. </w:t>
      </w:r>
    </w:p>
    <w:p w14:paraId="0199FA9B" w14:textId="77777777" w:rsidR="00CA5D1C" w:rsidRDefault="00D66E3F">
      <w:pPr>
        <w:ind w:left="435" w:right="63"/>
      </w:pPr>
      <w:r>
        <w:t xml:space="preserve">Количество акций 21823000 (двадцать один миллион восемьсот двадцать три тысячи) штук.    </w:t>
      </w:r>
    </w:p>
    <w:p w14:paraId="0B2FB54C" w14:textId="77777777" w:rsidR="00CA5D1C" w:rsidRDefault="00D66E3F">
      <w:pPr>
        <w:ind w:left="-15" w:right="63" w:firstLine="425"/>
      </w:pPr>
      <w:r>
        <w:t xml:space="preserve">Ценные бумаги Общества не включены в список ценных бумаг, допущенных к торгам на организаторе торговли на рынке ценных бумаг. </w:t>
      </w:r>
    </w:p>
    <w:p w14:paraId="404AE5CC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Ведение и хранение реестра владельцев именных ценных бумаг АО «Муссон» осуществляет   Акционерное общество «Регистратор КРЦ», ИНН 2311144802, КПП 231101001, по договору № 2014/12/17-СВ от 30.12.2014 г. Регистратор находится по адресу: г. Краснодар,  ул. Рашпилевская, д. 157, корп. лит А, 4 этаж, пом.2-17. (Офис дополнительного </w:t>
      </w:r>
      <w:r>
        <w:lastRenderedPageBreak/>
        <w:t xml:space="preserve">обслуживания Филиала АО «Регистратор КРЦ» в г. Симферополь, место нахождения: г. Севастополь, ул. Большая Морская, д.23, офис 119).  </w:t>
      </w:r>
    </w:p>
    <w:p w14:paraId="145EA980" w14:textId="77777777" w:rsidR="00CA5D1C" w:rsidRDefault="00D66E3F">
      <w:pPr>
        <w:numPr>
          <w:ilvl w:val="1"/>
          <w:numId w:val="2"/>
        </w:numPr>
        <w:ind w:right="63" w:firstLine="425"/>
      </w:pPr>
      <w:r>
        <w:t xml:space="preserve">Для работы с акционерами был избран корпоративный секретарь. Были утверждены основные положения по акционерному Обществу. </w:t>
      </w:r>
    </w:p>
    <w:p w14:paraId="0E996254" w14:textId="77777777" w:rsidR="00CA5D1C" w:rsidRDefault="00D66E3F">
      <w:pPr>
        <w:numPr>
          <w:ilvl w:val="1"/>
          <w:numId w:val="2"/>
        </w:numPr>
        <w:ind w:right="63" w:firstLine="425"/>
      </w:pPr>
      <w:r>
        <w:t>Средняя численность работников АО «Муссон» за 2023 год составила 257 человек. Средняя заработная плата – 56 717 рублей. За отчетный год было принято 142 сотрудников, уволено 148 сотрудников.</w:t>
      </w:r>
      <w:r>
        <w:rPr>
          <w:color w:val="FF0000"/>
        </w:rPr>
        <w:t xml:space="preserve"> </w:t>
      </w:r>
    </w:p>
    <w:p w14:paraId="2D5DE74A" w14:textId="77777777" w:rsidR="00CA5D1C" w:rsidRDefault="00D66E3F">
      <w:pPr>
        <w:spacing w:after="162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67ED342" w14:textId="77777777" w:rsidR="00CA5D1C" w:rsidRDefault="00D66E3F">
      <w:pPr>
        <w:numPr>
          <w:ilvl w:val="5"/>
          <w:numId w:val="4"/>
        </w:numPr>
        <w:spacing w:after="101" w:line="271" w:lineRule="auto"/>
        <w:ind w:right="1" w:hanging="240"/>
        <w:jc w:val="left"/>
      </w:pPr>
      <w:r>
        <w:rPr>
          <w:b/>
        </w:rPr>
        <w:t xml:space="preserve">Положение Общества в отрасли </w:t>
      </w:r>
    </w:p>
    <w:p w14:paraId="4A7B487E" w14:textId="77777777" w:rsidR="00CA5D1C" w:rsidRDefault="00D66E3F">
      <w:pPr>
        <w:ind w:left="-15" w:right="63" w:firstLine="425"/>
      </w:pPr>
      <w:r>
        <w:t xml:space="preserve">Общество предоставляет свое недвижимое имущество в аренду для осуществления различных видов деятельности, а также оказывает услуги населению города и региона. </w:t>
      </w:r>
    </w:p>
    <w:p w14:paraId="7698E87B" w14:textId="77777777" w:rsidR="00CA5D1C" w:rsidRDefault="00D66E3F">
      <w:pPr>
        <w:ind w:left="-15" w:right="63" w:firstLine="425"/>
      </w:pPr>
      <w:r>
        <w:t xml:space="preserve">Так, по состоянию на 31.12.2023 г. по основному виду деятельности Общество оказывало услуги 251 субъекту предпринимательской деятельности. </w:t>
      </w:r>
    </w:p>
    <w:p w14:paraId="631BA74D" w14:textId="77777777" w:rsidR="00CA5D1C" w:rsidRDefault="00D66E3F">
      <w:pPr>
        <w:ind w:left="-15" w:right="63" w:firstLine="425"/>
      </w:pPr>
      <w:r>
        <w:t xml:space="preserve">На данный момент Общество занимает лидирующее положение в отрасли среди всех конкурентов в городе. ТРЦ «Муссон» - единственный торговый центр, который включает, помимо зоны развлечений и кинотеатра, ледовый каток, спортивно-оздоровительный комплекс. Помимо этого, планируется дальнейшее развитие и строительство гостиницы, ресторана, спортивного центра и т.д., что только укрепит положение Общества в отрасли. </w:t>
      </w:r>
    </w:p>
    <w:p w14:paraId="36EE0F1D" w14:textId="77777777" w:rsidR="00CA5D1C" w:rsidRDefault="00D66E3F">
      <w:pPr>
        <w:spacing w:after="164" w:line="259" w:lineRule="auto"/>
        <w:ind w:left="428" w:firstLine="0"/>
        <w:jc w:val="left"/>
      </w:pPr>
      <w:r>
        <w:t xml:space="preserve"> </w:t>
      </w:r>
    </w:p>
    <w:p w14:paraId="65C692B7" w14:textId="77777777" w:rsidR="00CA5D1C" w:rsidRDefault="00D66E3F">
      <w:pPr>
        <w:numPr>
          <w:ilvl w:val="5"/>
          <w:numId w:val="4"/>
        </w:numPr>
        <w:spacing w:after="147"/>
        <w:ind w:right="1" w:hanging="240"/>
        <w:jc w:val="left"/>
      </w:pPr>
      <w:r>
        <w:rPr>
          <w:b/>
        </w:rPr>
        <w:t xml:space="preserve">Приоритетные направления деятельности Общества </w:t>
      </w:r>
    </w:p>
    <w:p w14:paraId="0DF765C1" w14:textId="77777777" w:rsidR="00CA5D1C" w:rsidRDefault="00D66E3F">
      <w:pPr>
        <w:ind w:left="435" w:right="63"/>
      </w:pPr>
      <w:r>
        <w:t xml:space="preserve">Приоритетным направлением деятельности Общества в 2023 году явились: </w:t>
      </w:r>
    </w:p>
    <w:p w14:paraId="67074679" w14:textId="77777777" w:rsidR="00CA5D1C" w:rsidRDefault="00D66E3F">
      <w:pPr>
        <w:numPr>
          <w:ilvl w:val="3"/>
          <w:numId w:val="3"/>
        </w:numPr>
        <w:ind w:right="63" w:firstLine="428"/>
      </w:pPr>
      <w:r>
        <w:t xml:space="preserve">Выполнение взятых на себя инвестиционных обязательств как участника свободной экономической зоны. </w:t>
      </w:r>
    </w:p>
    <w:p w14:paraId="1D2773FD" w14:textId="77777777" w:rsidR="00CA5D1C" w:rsidRDefault="00D66E3F">
      <w:pPr>
        <w:numPr>
          <w:ilvl w:val="3"/>
          <w:numId w:val="3"/>
        </w:numPr>
        <w:ind w:right="63" w:firstLine="428"/>
      </w:pPr>
      <w:r>
        <w:t xml:space="preserve">Продолжение реконструкции производственного корпуса №3 под спортивнооздоровительный, гостиничный и торгово-развлекательный центр.   </w:t>
      </w:r>
      <w:r>
        <w:rPr>
          <w:b/>
        </w:rPr>
        <w:t xml:space="preserve"> </w:t>
      </w:r>
    </w:p>
    <w:p w14:paraId="0D997732" w14:textId="77777777" w:rsidR="00CA5D1C" w:rsidRDefault="00D66E3F">
      <w:pPr>
        <w:numPr>
          <w:ilvl w:val="3"/>
          <w:numId w:val="3"/>
        </w:numPr>
        <w:ind w:right="63" w:firstLine="428"/>
      </w:pPr>
      <w:r>
        <w:t>Получение прибыли по итогам работы за 2023 г.</w:t>
      </w:r>
      <w:r>
        <w:rPr>
          <w:b/>
        </w:rPr>
        <w:t xml:space="preserve"> </w:t>
      </w:r>
    </w:p>
    <w:p w14:paraId="537E7B2D" w14:textId="77777777" w:rsidR="00CA5D1C" w:rsidRDefault="00D66E3F">
      <w:pPr>
        <w:spacing w:after="113" w:line="259" w:lineRule="auto"/>
        <w:ind w:left="428" w:firstLine="0"/>
        <w:jc w:val="left"/>
      </w:pPr>
      <w:r>
        <w:rPr>
          <w:b/>
        </w:rPr>
        <w:t xml:space="preserve"> </w:t>
      </w:r>
    </w:p>
    <w:p w14:paraId="36484829" w14:textId="77777777" w:rsidR="00CA5D1C" w:rsidRDefault="00D66E3F">
      <w:pPr>
        <w:spacing w:after="115" w:line="259" w:lineRule="auto"/>
        <w:ind w:left="428" w:firstLine="0"/>
        <w:jc w:val="left"/>
      </w:pPr>
      <w:r>
        <w:rPr>
          <w:b/>
        </w:rPr>
        <w:t xml:space="preserve"> </w:t>
      </w:r>
    </w:p>
    <w:p w14:paraId="0E052C6E" w14:textId="77777777" w:rsidR="00CA5D1C" w:rsidRDefault="00D66E3F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77864223" w14:textId="77777777" w:rsidR="00CA5D1C" w:rsidRDefault="00D66E3F">
      <w:pPr>
        <w:spacing w:after="11"/>
        <w:ind w:left="1080" w:hanging="36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Отчет Наблюдательного Совета по приоритетным направлениям деятельности Общества. </w:t>
      </w:r>
    </w:p>
    <w:p w14:paraId="74A4322C" w14:textId="77777777" w:rsidR="00CA5D1C" w:rsidRDefault="00D66E3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A25ACC2" w14:textId="77777777" w:rsidR="00CA5D1C" w:rsidRDefault="00D66E3F">
      <w:pPr>
        <w:ind w:left="-15" w:right="63" w:firstLine="428"/>
      </w:pPr>
      <w:r>
        <w:t>С 8 апреля 2016 года по 18 июля 2022 года АО «Муссон» осуществляет хозяйственную деятельность в соответствии с Федеральным законом от 29.11.2014 г. № 377-ФЗ Федеральный закон от 29.11.2014 «О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Севастополя» и Договором № 129 от 22.03.2016 г. «Об условиях деятельности в свободной экономической зоне на территории города федерального значения Севастополя</w:t>
      </w:r>
      <w:r>
        <w:t>» на основании свидетельства участника свободной экономической зоны от 08.04.2016 года. Вышеуказанный договор был расторгнут по соглашению сторон 18 июля 2022 года. 12 августа 2022 года был заключен Договор № 574 «Об условиях деятельности в свободной экономической зоне на территории города федерального значения Севастополя» в соответствии с Федеральным законом от 29.11.2014 г. № 377-ФЗ «О развитии Республики Крым и города федерального значения Севастополя и свободной экономической зоне на территориях Респуб</w:t>
      </w:r>
      <w:r>
        <w:t xml:space="preserve">лики Крым и города федерального значения Севастополя». </w:t>
      </w:r>
    </w:p>
    <w:p w14:paraId="7261622B" w14:textId="77777777" w:rsidR="00CA5D1C" w:rsidRDefault="00D66E3F">
      <w:pPr>
        <w:ind w:left="-15" w:right="63" w:firstLine="428"/>
      </w:pPr>
      <w:r>
        <w:lastRenderedPageBreak/>
        <w:t xml:space="preserve">В соответствии с вышеуказанным договором в рамках свободной экономической зоны Обществом осуществляются следующие виды деятельности: </w:t>
      </w:r>
    </w:p>
    <w:p w14:paraId="1D0007B4" w14:textId="77777777" w:rsidR="00CA5D1C" w:rsidRDefault="00D66E3F">
      <w:pPr>
        <w:spacing w:after="4" w:line="274" w:lineRule="auto"/>
        <w:ind w:left="-15" w:firstLine="428"/>
        <w:jc w:val="left"/>
      </w:pPr>
      <w:r>
        <w:t xml:space="preserve">                       Вид деятельности </w:t>
      </w:r>
      <w:r>
        <w:tab/>
        <w:t xml:space="preserve">                                                                     Код по ОКВЭД деятельность гостиниц и прочих мест для временного проживания                                       55.10 деятельность ресторанов и услуги по доставке продуктов питания </w:t>
      </w:r>
      <w:r>
        <w:tab/>
        <w:t xml:space="preserve">                                      56.10 </w:t>
      </w:r>
    </w:p>
    <w:p w14:paraId="25345670" w14:textId="77777777" w:rsidR="00CA5D1C" w:rsidRDefault="00D66E3F">
      <w:pPr>
        <w:ind w:left="-5" w:right="63"/>
      </w:pPr>
      <w:r>
        <w:t xml:space="preserve">аренда и управление собственным или арендованным нежилым недвижимым имуществом 68.20.2 </w:t>
      </w:r>
    </w:p>
    <w:p w14:paraId="63E4DC8E" w14:textId="77777777" w:rsidR="00CA5D1C" w:rsidRDefault="00D66E3F">
      <w:pPr>
        <w:ind w:left="-5" w:right="375"/>
      </w:pPr>
      <w:r>
        <w:t xml:space="preserve">деятельность спортивных объектов                                                                                      93.11 деятельность фитнес-центров                                                                                                    93.13 деятельность в области спорта прочая                                                                                      93.19 деятельность в области демонстрации кинофильмов                                                              59.14 </w:t>
      </w:r>
    </w:p>
    <w:p w14:paraId="5DEE1391" w14:textId="77777777" w:rsidR="00CA5D1C" w:rsidRDefault="00D66E3F">
      <w:pPr>
        <w:ind w:left="-15" w:right="63" w:firstLine="428"/>
      </w:pPr>
      <w:r>
        <w:t xml:space="preserve">Целью инвестиционного проекта является развитие действующего многопрофильного центра с широким комплексом услуг, включающего торгово-развлекательный центр, кинотеатры, зону фуд-кортов, спортивный комплекс, деловой центр, гостиничный комплекс, для организации досуга жителей и гостей города Севастополя, развития спорта, содействия туристическому бизнесу, а также создание новых рабочих мест для жителей города. </w:t>
      </w:r>
    </w:p>
    <w:p w14:paraId="117195AB" w14:textId="77777777" w:rsidR="00CA5D1C" w:rsidRDefault="00D66E3F">
      <w:pPr>
        <w:ind w:left="-15" w:right="63" w:firstLine="428"/>
      </w:pPr>
      <w:r>
        <w:t xml:space="preserve">Тенденции развития современного рынка услуг обуславливают необходимость создания не просто торгового центра, а многофункционального объекта крупного торгового центра с расширенными возможностями, т.е. помимо торговых площадей создаются рекреационноразвлекательные зоны, рассчитанные на максимально широкий спектр посетителей. </w:t>
      </w:r>
    </w:p>
    <w:p w14:paraId="4D877B7D" w14:textId="77777777" w:rsidR="00CA5D1C" w:rsidRDefault="00D66E3F">
      <w:pPr>
        <w:ind w:left="-15" w:right="63" w:firstLine="428"/>
      </w:pPr>
      <w:r>
        <w:t xml:space="preserve">Объединение торговой, деловой, зрелищной, развлекательной, спортивной и других функций в одном комплексе позволит удовлетворить социально-экономические потребности максимального количества жителей и гостей города. </w:t>
      </w:r>
    </w:p>
    <w:p w14:paraId="6199575B" w14:textId="77777777" w:rsidR="00CA5D1C" w:rsidRDefault="00D66E3F">
      <w:pPr>
        <w:ind w:left="-15" w:right="63" w:firstLine="428"/>
      </w:pPr>
      <w:r>
        <w:t xml:space="preserve">Для достижения данной цели инвестиционный проект предусматривает проведение следующих работ и ввод объектов: </w:t>
      </w:r>
    </w:p>
    <w:p w14:paraId="52B91BF1" w14:textId="77777777" w:rsidR="00CA5D1C" w:rsidRDefault="00D66E3F">
      <w:pPr>
        <w:ind w:left="-15" w:right="63" w:firstLine="428"/>
      </w:pPr>
      <w:r>
        <w:t xml:space="preserve">- модернизация зданий с учетом дооборудования и расширения площадей, их вводом в строй для осуществления видов деятельности, предусмотренных проектом: гостиничное хозяйство, заведения общепита, спортивный центр, кинотеатр, расширение торговых площадей. </w:t>
      </w:r>
    </w:p>
    <w:p w14:paraId="2271DD3F" w14:textId="77777777" w:rsidR="00CA5D1C" w:rsidRDefault="00D66E3F">
      <w:pPr>
        <w:ind w:left="-15" w:right="63" w:firstLine="428"/>
      </w:pPr>
      <w:r>
        <w:t xml:space="preserve">Объем капитальных вложений составит не менее 60 000 000 рублей (шестидесяти миллионов рублей).   </w:t>
      </w:r>
    </w:p>
    <w:p w14:paraId="0541748F" w14:textId="77777777" w:rsidR="00CA5D1C" w:rsidRDefault="00D66E3F">
      <w:pPr>
        <w:ind w:left="-15" w:right="63" w:firstLine="428"/>
      </w:pPr>
      <w:r>
        <w:t xml:space="preserve">Объем капитальных вложений в первые три года с даты заключения договора об условиях деятельности в СЭЗ: </w:t>
      </w:r>
    </w:p>
    <w:p w14:paraId="3B214E0B" w14:textId="77777777" w:rsidR="00CA5D1C" w:rsidRDefault="00D66E3F">
      <w:pPr>
        <w:numPr>
          <w:ilvl w:val="0"/>
          <w:numId w:val="6"/>
        </w:numPr>
        <w:ind w:right="2779" w:hanging="540"/>
      </w:pPr>
      <w:r>
        <w:t xml:space="preserve">год не менее 10 000 000 рублей. </w:t>
      </w:r>
    </w:p>
    <w:p w14:paraId="07BBC967" w14:textId="77777777" w:rsidR="00CA5D1C" w:rsidRDefault="00D66E3F">
      <w:pPr>
        <w:numPr>
          <w:ilvl w:val="0"/>
          <w:numId w:val="6"/>
        </w:numPr>
        <w:ind w:right="2779" w:hanging="540"/>
      </w:pPr>
      <w:r>
        <w:t xml:space="preserve">год не менее 27 500 000 рублей. 2024 год не менее 22 500 000 рублей. </w:t>
      </w:r>
    </w:p>
    <w:p w14:paraId="4A2A19E2" w14:textId="77777777" w:rsidR="00CA5D1C" w:rsidRDefault="00D66E3F">
      <w:pPr>
        <w:ind w:left="-15" w:right="63" w:firstLine="428"/>
      </w:pPr>
      <w:r>
        <w:t>В соответствии с условиями договора в 2023 году АО «Муссон» планировал осуществить капитальные вложения в следующем размере: 1 квартал 2023 года – 4 000 000 рублей, 2 квартал 2023 года – 6 000 000 рублей, 3 квартал 2023 года – 8 500 000 рублей, 4 квартал 2023 года – 9 000 000 рублей.</w:t>
      </w:r>
      <w:r>
        <w:rPr>
          <w:color w:val="FF0000"/>
        </w:rPr>
        <w:t xml:space="preserve"> </w:t>
      </w:r>
      <w:r>
        <w:t xml:space="preserve">По итогам 2023 года Обществом было осуществлено капитальных вложений на сумму 58 626 952 рублей. </w:t>
      </w:r>
    </w:p>
    <w:p w14:paraId="4C2FC60C" w14:textId="77777777" w:rsidR="00CA5D1C" w:rsidRDefault="00D66E3F">
      <w:pPr>
        <w:ind w:left="-15" w:right="63" w:firstLine="428"/>
      </w:pPr>
      <w:r>
        <w:t xml:space="preserve"> Обществом достигнута цель работы по итогам 2023 года – завершение финансового года с прибылью. Активы Общества за анализируемый период увеличились на 365 959 тыс. руб. (11,4%).  </w:t>
      </w:r>
    </w:p>
    <w:p w14:paraId="5FCD971E" w14:textId="77777777" w:rsidR="00CA5D1C" w:rsidRDefault="00D66E3F">
      <w:pPr>
        <w:ind w:left="413" w:right="2450" w:hanging="428"/>
      </w:pPr>
      <w:r>
        <w:t>Чистая прибыль составила 367 449 тыс. руб.  За отчетный период задолженность по заемным средствам отсутствует.</w:t>
      </w:r>
      <w:r>
        <w:rPr>
          <w:color w:val="FF0000"/>
        </w:rPr>
        <w:t xml:space="preserve"> </w:t>
      </w:r>
    </w:p>
    <w:p w14:paraId="6D2B5527" w14:textId="77777777" w:rsidR="00CA5D1C" w:rsidRDefault="00D66E3F">
      <w:pPr>
        <w:spacing w:after="25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326EB1A7" w14:textId="77777777" w:rsidR="00CA5D1C" w:rsidRDefault="00D66E3F">
      <w:pPr>
        <w:spacing w:after="11"/>
        <w:ind w:left="2362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Основные финансовые показатели Общества в 2023 г </w:t>
      </w:r>
    </w:p>
    <w:p w14:paraId="5BA23081" w14:textId="77777777" w:rsidR="00CA5D1C" w:rsidRDefault="00D66E3F">
      <w:pPr>
        <w:spacing w:after="10" w:line="259" w:lineRule="auto"/>
        <w:ind w:left="720" w:firstLine="0"/>
        <w:jc w:val="left"/>
      </w:pPr>
      <w:r>
        <w:rPr>
          <w:b/>
        </w:rPr>
        <w:t xml:space="preserve"> </w:t>
      </w:r>
    </w:p>
    <w:p w14:paraId="782BA0B9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6.1. Выручка </w:t>
      </w:r>
    </w:p>
    <w:p w14:paraId="3CC1CD92" w14:textId="77777777" w:rsidR="00CA5D1C" w:rsidRDefault="00D66E3F">
      <w:pPr>
        <w:ind w:left="-15" w:right="63" w:firstLine="428"/>
      </w:pPr>
      <w:r>
        <w:t xml:space="preserve">При сравнительном анализе показателей доходов от основных видов деятельности за 2023 г. и 2022 г. наблюдается рост практически по всем основным направлениям (кроме гостиничного хозяйства, общежития). В среднем доход вырос на 7,9% по сравнению с аналогичным периодом прошлого года, что составило +64 797 тыс. руб. </w:t>
      </w:r>
    </w:p>
    <w:p w14:paraId="71F83752" w14:textId="77777777" w:rsidR="00CA5D1C" w:rsidRDefault="00D66E3F">
      <w:pPr>
        <w:ind w:left="-15" w:right="63" w:firstLine="428"/>
      </w:pPr>
      <w:r>
        <w:t xml:space="preserve">При этом, по таким видам деятельности как кинотеатр, общепит произошел рост доходов на 58,6% и 84,8% соответственно.  </w:t>
      </w:r>
    </w:p>
    <w:p w14:paraId="5A6F4A76" w14:textId="77777777" w:rsidR="00CA5D1C" w:rsidRDefault="00D66E3F">
      <w:pPr>
        <w:ind w:left="-15" w:right="63" w:firstLine="428"/>
      </w:pPr>
      <w:r>
        <w:t>Общество в 2023 году получало компенсации от государства на предоставление услуг ЖКХ льготным категориям граждан, проживающих в общежитии,</w:t>
      </w:r>
      <w:r>
        <w:rPr>
          <w:color w:val="FF0000"/>
        </w:rPr>
        <w:t xml:space="preserve"> </w:t>
      </w:r>
      <w:r>
        <w:t>в сумме 70.8 тыс. руб.</w:t>
      </w:r>
      <w:r>
        <w:rPr>
          <w:color w:val="FF0000"/>
        </w:rPr>
        <w:t xml:space="preserve">  </w:t>
      </w:r>
    </w:p>
    <w:p w14:paraId="7A886C80" w14:textId="77777777" w:rsidR="00CA5D1C" w:rsidRDefault="00D66E3F">
      <w:pPr>
        <w:ind w:left="438" w:right="174"/>
      </w:pPr>
      <w:r>
        <w:t xml:space="preserve">Выручка Общества от реализации работ, услуг составила 882 423 тыс. руб. В т.ч. по видам продукции, работ, услуг по основным видам деятельности выручка составила: </w:t>
      </w:r>
    </w:p>
    <w:p w14:paraId="5EB77052" w14:textId="77777777" w:rsidR="00CA5D1C" w:rsidRDefault="00D66E3F">
      <w:pPr>
        <w:numPr>
          <w:ilvl w:val="0"/>
          <w:numId w:val="7"/>
        </w:numPr>
        <w:ind w:right="63" w:firstLine="428"/>
      </w:pPr>
      <w:r>
        <w:t xml:space="preserve">доходы от аренды – 721 974 тыс. руб. </w:t>
      </w:r>
    </w:p>
    <w:p w14:paraId="3E5CE383" w14:textId="77777777" w:rsidR="00CA5D1C" w:rsidRDefault="00D66E3F">
      <w:pPr>
        <w:numPr>
          <w:ilvl w:val="0"/>
          <w:numId w:val="7"/>
        </w:numPr>
        <w:ind w:right="63" w:firstLine="428"/>
      </w:pPr>
      <w:r>
        <w:t xml:space="preserve">доход от услуг кинотеатра – 72 604 тыс. руб. </w:t>
      </w:r>
    </w:p>
    <w:p w14:paraId="0C90FDBF" w14:textId="77777777" w:rsidR="00CA5D1C" w:rsidRDefault="00D66E3F">
      <w:pPr>
        <w:numPr>
          <w:ilvl w:val="0"/>
          <w:numId w:val="7"/>
        </w:numPr>
        <w:ind w:right="63" w:firstLine="428"/>
      </w:pPr>
      <w:r>
        <w:t xml:space="preserve">доход от прочей деятельности, включая деятельность спортивного клуба, развлекательного центра и катка – 51 792 тыс. руб. </w:t>
      </w:r>
    </w:p>
    <w:p w14:paraId="3163441B" w14:textId="77777777" w:rsidR="00CA5D1C" w:rsidRDefault="00D66E3F">
      <w:pPr>
        <w:numPr>
          <w:ilvl w:val="0"/>
          <w:numId w:val="7"/>
        </w:numPr>
        <w:ind w:right="63" w:firstLine="428"/>
      </w:pPr>
      <w:r>
        <w:t xml:space="preserve">доход от оказания населению услуг общепита – 35 537 тыс. руб. </w:t>
      </w:r>
    </w:p>
    <w:p w14:paraId="483890BB" w14:textId="77777777" w:rsidR="00CA5D1C" w:rsidRDefault="00D66E3F">
      <w:pPr>
        <w:numPr>
          <w:ilvl w:val="0"/>
          <w:numId w:val="7"/>
        </w:numPr>
        <w:ind w:right="63" w:firstLine="428"/>
      </w:pPr>
      <w:r>
        <w:t xml:space="preserve">доходы от предоставления мест для временного проживания составили 516 тыс. руб. Что касается прочих доходов, то по сравнению с 2022 годом необходимо отметить их рост на 24,4%. В целом за 2023 год наблюдается прирост доходов, связанных с начислением процентов, на 20 345,4 тыс. руб., что на 17,1% превышает этот показатель 2022 года.  </w:t>
      </w:r>
    </w:p>
    <w:p w14:paraId="3D15365E" w14:textId="77777777" w:rsidR="00CA5D1C" w:rsidRDefault="00D66E3F">
      <w:pPr>
        <w:ind w:left="-15" w:right="63" w:firstLine="428"/>
      </w:pPr>
      <w:r>
        <w:t xml:space="preserve">Такого результата Обществу удалось достичь за счет слаженной работы коллектива предприятия и исполнительного органа Общества, а также конкурентоспособности предоставляемых услуг.  </w:t>
      </w:r>
    </w:p>
    <w:p w14:paraId="71D38538" w14:textId="77777777" w:rsidR="00CA5D1C" w:rsidRDefault="00D66E3F">
      <w:pPr>
        <w:ind w:left="-15" w:right="63" w:firstLine="428"/>
      </w:pPr>
      <w:r>
        <w:t xml:space="preserve">Необходимо отметить, что за расчетный период площади аренды, принадлежащие Обществу, были постоянно востребованы, благодаря выверенной политике ценообразования, а также разнообразию предоставляемых услуг Торгово-развлекательным центром.  Разработав гибкую систему оплаты и погашения, имеющихся у арендаторов долгов, Обществу удалось не только сохранить сотрудничество с арендаторами, работавшими на площадях АО «Муссон» до 2023 г., но и привлечь на площадку Общества новых арендаторов.  </w:t>
      </w:r>
    </w:p>
    <w:p w14:paraId="5AAAA3B6" w14:textId="77777777" w:rsidR="00CA5D1C" w:rsidRDefault="00D66E3F">
      <w:pPr>
        <w:spacing w:after="16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5F576C62" w14:textId="77777777" w:rsidR="00CA5D1C" w:rsidRDefault="00D66E3F">
      <w:pPr>
        <w:numPr>
          <w:ilvl w:val="1"/>
          <w:numId w:val="8"/>
        </w:numPr>
        <w:spacing w:after="11"/>
        <w:ind w:hanging="420"/>
        <w:jc w:val="left"/>
      </w:pPr>
      <w:r>
        <w:rPr>
          <w:b/>
        </w:rPr>
        <w:t xml:space="preserve">Чистая прибыль </w:t>
      </w:r>
    </w:p>
    <w:p w14:paraId="37E5E1B0" w14:textId="77777777" w:rsidR="00CA5D1C" w:rsidRDefault="00D66E3F">
      <w:pPr>
        <w:ind w:left="-15" w:right="63" w:firstLine="428"/>
      </w:pPr>
      <w:r>
        <w:t xml:space="preserve">Прибыль, полученная Обществом в 2023 году, составила практически 45% от выручки Общества, что характеризует динамику развития АО «Муссон», как положительную. </w:t>
      </w:r>
    </w:p>
    <w:p w14:paraId="091000F8" w14:textId="77777777" w:rsidR="00CA5D1C" w:rsidRDefault="00D66E3F">
      <w:pPr>
        <w:ind w:left="-15" w:right="63" w:firstLine="428"/>
      </w:pPr>
      <w:r>
        <w:t xml:space="preserve">Чистая прибыль по сравнению с аналогичным периодом 2022 г. увеличилась на 3,2 млн рублей (0,9%) и составила 367 449 тыс. руб. </w:t>
      </w:r>
    </w:p>
    <w:p w14:paraId="4601F060" w14:textId="77777777" w:rsidR="00CA5D1C" w:rsidRDefault="00D66E3F">
      <w:pPr>
        <w:spacing w:after="21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536F7B40" w14:textId="77777777" w:rsidR="00CA5D1C" w:rsidRDefault="00D66E3F">
      <w:pPr>
        <w:numPr>
          <w:ilvl w:val="1"/>
          <w:numId w:val="8"/>
        </w:numPr>
        <w:spacing w:after="11"/>
        <w:ind w:hanging="420"/>
        <w:jc w:val="left"/>
      </w:pPr>
      <w:r>
        <w:rPr>
          <w:b/>
        </w:rPr>
        <w:t xml:space="preserve">Финансовое положение Общества </w:t>
      </w:r>
    </w:p>
    <w:p w14:paraId="76D8210F" w14:textId="77777777" w:rsidR="00CA5D1C" w:rsidRDefault="00D66E3F">
      <w:pPr>
        <w:ind w:left="-15" w:right="63" w:firstLine="428"/>
      </w:pPr>
      <w:r>
        <w:t xml:space="preserve">Анализируя финансово-экономическую деятельность Общества, можно отметить, что за весь рассматриваемый период Общество функционировало достаточно эффективно.  </w:t>
      </w:r>
    </w:p>
    <w:p w14:paraId="5C794258" w14:textId="77777777" w:rsidR="00CA5D1C" w:rsidRDefault="00D66E3F">
      <w:pPr>
        <w:ind w:left="-15" w:right="63" w:firstLine="428"/>
      </w:pPr>
      <w:r>
        <w:t xml:space="preserve">Показатели рентабельности за 2023 год имеют положительные значения, поскольку организацией получена как прибыль от продаж, так и в целом от финансово-хозяйственной деятельности.  </w:t>
      </w:r>
    </w:p>
    <w:p w14:paraId="32F31A96" w14:textId="77777777" w:rsidR="00CA5D1C" w:rsidRDefault="00D66E3F">
      <w:pPr>
        <w:ind w:left="-15" w:right="63" w:firstLine="428"/>
      </w:pPr>
      <w:r>
        <w:t xml:space="preserve">Коэффициент автономии организации на 31.12.2023 составил 0,97. Полученное значение говорит о достаточной доле собственного капитала (97%) и, как следствие, о достаточной финансовой устойчивости Общества.  </w:t>
      </w:r>
    </w:p>
    <w:p w14:paraId="334FC68F" w14:textId="77777777" w:rsidR="00CA5D1C" w:rsidRDefault="00D66E3F">
      <w:pPr>
        <w:ind w:left="-15" w:right="63" w:firstLine="428"/>
      </w:pPr>
      <w:r>
        <w:t xml:space="preserve">Чистые активы Общества превышают Уставной капитал в 206 раз. За 2023 год их величина по сравнению с 2022 годом увеличилась на 11,8%.  </w:t>
      </w:r>
    </w:p>
    <w:p w14:paraId="16811C2A" w14:textId="77777777" w:rsidR="00CA5D1C" w:rsidRDefault="00D66E3F">
      <w:pPr>
        <w:ind w:left="438" w:right="63"/>
      </w:pPr>
      <w:r>
        <w:t xml:space="preserve">Соотношение основных качественных групп активов организации на 31.12.2023 г. </w:t>
      </w:r>
    </w:p>
    <w:p w14:paraId="72224448" w14:textId="77777777" w:rsidR="00CA5D1C" w:rsidRDefault="00D66E3F">
      <w:pPr>
        <w:ind w:left="-5" w:right="63"/>
      </w:pPr>
      <w:r>
        <w:t>характеризуется равной значимостью в активе баланса (50% внеоборотных активов (корпуса производственного и коммерческого назначения, энергообъекты, энергосети, дороги, артезианская скважина, одно общежитие, оборудование) и 50% текущих активов).</w:t>
      </w:r>
      <w:r>
        <w:rPr>
          <w:color w:val="FF0000"/>
        </w:rPr>
        <w:t xml:space="preserve"> </w:t>
      </w:r>
      <w:r>
        <w:t>Активы организации за анализируемый период увеличились на 365 959 тыс. руб. (11,4%). Учитывая рост активов, необходимо отметить, что доля собственного капитала выросла на 11,8%.</w:t>
      </w:r>
      <w:r>
        <w:rPr>
          <w:color w:val="FF0000"/>
        </w:rPr>
        <w:t xml:space="preserve"> </w:t>
      </w:r>
    </w:p>
    <w:p w14:paraId="27A273DF" w14:textId="77777777" w:rsidR="00CA5D1C" w:rsidRDefault="00D66E3F">
      <w:pPr>
        <w:ind w:left="-15" w:right="63" w:firstLine="428"/>
      </w:pPr>
      <w:r>
        <w:t xml:space="preserve">Рост величины активов организации связан в основном с ростом следующих позиций актива бухгалтерского баланса (в скобках указан прирост по сравнению с 2022 годом): </w:t>
      </w:r>
    </w:p>
    <w:p w14:paraId="1E43F347" w14:textId="77777777" w:rsidR="00CA5D1C" w:rsidRDefault="00D66E3F">
      <w:pPr>
        <w:spacing w:after="4" w:line="274" w:lineRule="auto"/>
        <w:ind w:left="438" w:right="819"/>
        <w:jc w:val="left"/>
      </w:pPr>
      <w:r>
        <w:t xml:space="preserve">основные средства – 45 376 тыс. руб. (+3%); денежные средства и краткосрочные финансовые вложения – 187 916 тыс. руб. (16,5%). нераспределенная прибыль на конец периода выросла на 367 449 тыс. руб. (+12,3%). </w:t>
      </w:r>
    </w:p>
    <w:p w14:paraId="2FD8A64A" w14:textId="77777777" w:rsidR="00CA5D1C" w:rsidRDefault="00D66E3F">
      <w:pPr>
        <w:ind w:left="-5" w:right="63"/>
      </w:pPr>
      <w:r>
        <w:t xml:space="preserve">За отчетный период задолженность по заемным средствам отсутствует. </w:t>
      </w:r>
    </w:p>
    <w:p w14:paraId="257020E7" w14:textId="77777777" w:rsidR="00CA5D1C" w:rsidRDefault="00D66E3F">
      <w:pPr>
        <w:ind w:left="-15" w:right="63" w:firstLine="428"/>
      </w:pPr>
      <w:r>
        <w:t xml:space="preserve">Дебиторская задолженность по сравнению с 2022 годом увеличилась на 8 777 тыс. рублей и составила 143 489 тыс. рублей. </w:t>
      </w:r>
    </w:p>
    <w:p w14:paraId="59AB0459" w14:textId="77777777" w:rsidR="00CA5D1C" w:rsidRDefault="00D66E3F">
      <w:pPr>
        <w:ind w:left="-15" w:right="63" w:firstLine="428"/>
      </w:pPr>
      <w:r>
        <w:t xml:space="preserve">Основная причина наличия дебиторской задолженности – это задолженность за товары, работы, услуги, срок оплаты которых, на конец 2023 года не наступил.  </w:t>
      </w:r>
    </w:p>
    <w:p w14:paraId="10D2C0A6" w14:textId="77777777" w:rsidR="00CA5D1C" w:rsidRDefault="00D66E3F">
      <w:pPr>
        <w:ind w:left="-15" w:right="63" w:firstLine="428"/>
      </w:pPr>
      <w:r>
        <w:t xml:space="preserve">Кредиторская задолженность, на конец 2023 года составила 88 453 тыс. рублей. Наибольшую долю в кредиторской задолженности составляют авансовые платежи арендаторов за последний месяц аренды (страховые платежи по договорам). </w:t>
      </w:r>
    </w:p>
    <w:p w14:paraId="00354C84" w14:textId="77777777" w:rsidR="00CA5D1C" w:rsidRDefault="00D66E3F">
      <w:pPr>
        <w:ind w:left="438" w:right="63"/>
      </w:pPr>
      <w:r>
        <w:t xml:space="preserve">По результатам аудиторской проверки бухгалтерской (финансовой) отчетности Общества за </w:t>
      </w:r>
    </w:p>
    <w:p w14:paraId="17C51DE0" w14:textId="77777777" w:rsidR="00CA5D1C" w:rsidRDefault="00D66E3F">
      <w:pPr>
        <w:ind w:left="-5" w:right="63"/>
      </w:pPr>
      <w:r>
        <w:t xml:space="preserve">2023 г. получено положительное заключение.  </w:t>
      </w:r>
    </w:p>
    <w:p w14:paraId="0017DD84" w14:textId="77777777" w:rsidR="00CA5D1C" w:rsidRDefault="00D66E3F">
      <w:pPr>
        <w:spacing w:after="164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2E99C935" w14:textId="77777777" w:rsidR="00CA5D1C" w:rsidRDefault="00D66E3F">
      <w:pPr>
        <w:numPr>
          <w:ilvl w:val="3"/>
          <w:numId w:val="9"/>
        </w:numPr>
        <w:spacing w:after="11"/>
        <w:ind w:right="2" w:hanging="240"/>
        <w:jc w:val="left"/>
      </w:pPr>
      <w:r>
        <w:rPr>
          <w:b/>
        </w:rPr>
        <w:t xml:space="preserve">Информация об объемах потребления топливно-энергетических ресурсов </w:t>
      </w:r>
    </w:p>
    <w:p w14:paraId="5CC8C163" w14:textId="77777777" w:rsidR="00CA5D1C" w:rsidRDefault="00D66E3F">
      <w:pPr>
        <w:spacing w:after="23" w:line="259" w:lineRule="auto"/>
        <w:ind w:left="413" w:firstLine="0"/>
        <w:jc w:val="center"/>
      </w:pPr>
      <w:r>
        <w:rPr>
          <w:b/>
        </w:rPr>
        <w:t xml:space="preserve"> </w:t>
      </w:r>
    </w:p>
    <w:p w14:paraId="1CAFE96E" w14:textId="77777777" w:rsidR="00CA5D1C" w:rsidRDefault="00D66E3F">
      <w:pPr>
        <w:ind w:left="-15" w:right="63" w:firstLine="425"/>
      </w:pPr>
      <w:r>
        <w:t xml:space="preserve">Объемы потребления топливно-энергетических ресурсов (ТЭР) и суммы, начисленные и оплаченные энергоснабжающим организациям за ТЭР в 2023 году, </w:t>
      </w:r>
      <w:r>
        <w:t xml:space="preserve">приведены в таблице: </w:t>
      </w:r>
    </w:p>
    <w:p w14:paraId="239ADB1B" w14:textId="77777777" w:rsidR="00CA5D1C" w:rsidRDefault="00D66E3F">
      <w:pPr>
        <w:spacing w:after="0" w:line="259" w:lineRule="auto"/>
        <w:ind w:left="425" w:firstLine="0"/>
        <w:jc w:val="left"/>
      </w:pPr>
      <w:r>
        <w:t xml:space="preserve"> </w:t>
      </w:r>
    </w:p>
    <w:tbl>
      <w:tblPr>
        <w:tblStyle w:val="TableGrid"/>
        <w:tblW w:w="8958" w:type="dxa"/>
        <w:tblInd w:w="540" w:type="dxa"/>
        <w:tblCellMar>
          <w:top w:w="14" w:type="dxa"/>
          <w:left w:w="53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284"/>
        <w:gridCol w:w="2837"/>
        <w:gridCol w:w="2837"/>
      </w:tblGrid>
      <w:tr w:rsidR="00CA5D1C" w14:paraId="111FADFB" w14:textId="77777777">
        <w:trPr>
          <w:trHeight w:val="838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72DA" w14:textId="77777777" w:rsidR="00CA5D1C" w:rsidRDefault="00D66E3F">
            <w:pPr>
              <w:spacing w:after="0" w:line="259" w:lineRule="auto"/>
              <w:ind w:left="0" w:right="64" w:firstLine="0"/>
              <w:jc w:val="center"/>
            </w:pPr>
            <w:r>
              <w:t xml:space="preserve">ТЭР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D915" w14:textId="77777777" w:rsidR="00CA5D1C" w:rsidRDefault="00D66E3F">
            <w:pPr>
              <w:spacing w:after="0" w:line="259" w:lineRule="auto"/>
              <w:ind w:left="0" w:right="61" w:firstLine="0"/>
              <w:jc w:val="right"/>
            </w:pPr>
            <w:r>
              <w:t xml:space="preserve">Объемы потребления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C3D5" w14:textId="77777777" w:rsidR="00CA5D1C" w:rsidRDefault="00D66E3F">
            <w:pPr>
              <w:spacing w:after="0" w:line="259" w:lineRule="auto"/>
              <w:ind w:left="137" w:firstLine="312"/>
              <w:jc w:val="left"/>
            </w:pPr>
            <w:r>
              <w:t xml:space="preserve">Начислено и оплачено, руб. </w:t>
            </w:r>
          </w:p>
        </w:tc>
      </w:tr>
      <w:tr w:rsidR="00CA5D1C" w14:paraId="58E4C2DE" w14:textId="77777777">
        <w:trPr>
          <w:trHeight w:val="42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35E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Электроэнергия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4EE" w14:textId="77777777" w:rsidR="00CA5D1C" w:rsidRDefault="00D66E3F">
            <w:pPr>
              <w:spacing w:after="0" w:line="259" w:lineRule="auto"/>
              <w:ind w:left="0" w:right="60" w:firstLine="0"/>
              <w:jc w:val="center"/>
            </w:pPr>
            <w:r>
              <w:t xml:space="preserve">16 216 372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48C0" w14:textId="77777777" w:rsidR="00CA5D1C" w:rsidRDefault="00D66E3F">
            <w:pPr>
              <w:spacing w:after="0" w:line="259" w:lineRule="auto"/>
              <w:ind w:left="469" w:firstLine="0"/>
              <w:jc w:val="left"/>
            </w:pPr>
            <w:r>
              <w:t xml:space="preserve">98747556,07 </w:t>
            </w:r>
          </w:p>
        </w:tc>
      </w:tr>
      <w:tr w:rsidR="00CA5D1C" w14:paraId="043401BB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A5AC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Природный газ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E52" w14:textId="77777777" w:rsidR="00CA5D1C" w:rsidRDefault="00D66E3F">
            <w:pPr>
              <w:spacing w:after="0" w:line="259" w:lineRule="auto"/>
              <w:ind w:left="0" w:right="58" w:firstLine="0"/>
              <w:jc w:val="center"/>
            </w:pPr>
            <w:r>
              <w:t xml:space="preserve">477,585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CC7" w14:textId="77777777" w:rsidR="00CA5D1C" w:rsidRDefault="00D66E3F">
            <w:pPr>
              <w:spacing w:after="0" w:line="259" w:lineRule="auto"/>
              <w:ind w:left="0" w:right="62" w:firstLine="0"/>
              <w:jc w:val="center"/>
            </w:pPr>
            <w:r>
              <w:t xml:space="preserve">6659761,56 </w:t>
            </w:r>
          </w:p>
        </w:tc>
      </w:tr>
      <w:tr w:rsidR="00CA5D1C" w14:paraId="0BF62534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28B1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Тепловая энергия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C42" w14:textId="77777777" w:rsidR="00CA5D1C" w:rsidRDefault="00D66E3F">
            <w:pPr>
              <w:spacing w:after="0" w:line="259" w:lineRule="auto"/>
              <w:ind w:left="0" w:right="58" w:firstLine="0"/>
              <w:jc w:val="center"/>
            </w:pPr>
            <w:r>
              <w:t xml:space="preserve">321,668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97A3" w14:textId="77777777" w:rsidR="00CA5D1C" w:rsidRDefault="00D66E3F">
            <w:pPr>
              <w:spacing w:after="0" w:line="259" w:lineRule="auto"/>
              <w:ind w:left="0" w:right="62" w:firstLine="0"/>
              <w:jc w:val="center"/>
            </w:pPr>
            <w:r>
              <w:t xml:space="preserve">911275,75 </w:t>
            </w:r>
          </w:p>
        </w:tc>
      </w:tr>
      <w:tr w:rsidR="00CA5D1C" w14:paraId="1B1FF380" w14:textId="77777777">
        <w:trPr>
          <w:trHeight w:val="42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F53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Бензин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F46" w14:textId="77777777" w:rsidR="00CA5D1C" w:rsidRDefault="00D66E3F">
            <w:pPr>
              <w:spacing w:after="0" w:line="259" w:lineRule="auto"/>
              <w:ind w:left="0" w:right="60" w:firstLine="0"/>
              <w:jc w:val="center"/>
            </w:pPr>
            <w:r>
              <w:t xml:space="preserve">7600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FE78" w14:textId="77777777" w:rsidR="00CA5D1C" w:rsidRDefault="00D66E3F">
            <w:pPr>
              <w:spacing w:after="0" w:line="259" w:lineRule="auto"/>
              <w:ind w:left="0" w:right="62" w:firstLine="0"/>
              <w:jc w:val="center"/>
            </w:pPr>
            <w:r>
              <w:t xml:space="preserve">369224,97 </w:t>
            </w:r>
          </w:p>
        </w:tc>
      </w:tr>
      <w:tr w:rsidR="00CA5D1C" w14:paraId="7113F5A4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7EE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Топливо дизельное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924D" w14:textId="77777777" w:rsidR="00CA5D1C" w:rsidRDefault="00D66E3F">
            <w:pPr>
              <w:spacing w:after="0" w:line="259" w:lineRule="auto"/>
              <w:ind w:left="0" w:right="60" w:firstLine="0"/>
              <w:jc w:val="center"/>
            </w:pPr>
            <w:r>
              <w:t xml:space="preserve">68500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0B1" w14:textId="77777777" w:rsidR="00CA5D1C" w:rsidRDefault="00D66E3F">
            <w:pPr>
              <w:spacing w:after="0" w:line="259" w:lineRule="auto"/>
              <w:ind w:left="497" w:firstLine="0"/>
              <w:jc w:val="left"/>
            </w:pPr>
            <w:r>
              <w:t xml:space="preserve">3564870386 </w:t>
            </w:r>
          </w:p>
        </w:tc>
      </w:tr>
      <w:tr w:rsidR="00CA5D1C" w14:paraId="43D4A4E2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91A3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D3D5" w14:textId="77777777" w:rsidR="00CA5D1C" w:rsidRDefault="00D66E3F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65E" w14:textId="77777777" w:rsidR="00CA5D1C" w:rsidRDefault="00D66E3F">
            <w:pPr>
              <w:spacing w:after="0" w:line="259" w:lineRule="auto"/>
              <w:ind w:left="408" w:firstLine="0"/>
              <w:jc w:val="left"/>
            </w:pPr>
            <w:r>
              <w:t xml:space="preserve">110252689,21 </w:t>
            </w:r>
          </w:p>
        </w:tc>
      </w:tr>
    </w:tbl>
    <w:p w14:paraId="4FC638AF" w14:textId="77777777" w:rsidR="00CA5D1C" w:rsidRDefault="00D66E3F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02796F77" w14:textId="77777777" w:rsidR="00CA5D1C" w:rsidRDefault="00D66E3F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14:paraId="07B5CC33" w14:textId="77777777" w:rsidR="00CA5D1C" w:rsidRDefault="00D66E3F">
      <w:pPr>
        <w:numPr>
          <w:ilvl w:val="3"/>
          <w:numId w:val="9"/>
        </w:numPr>
        <w:spacing w:after="14" w:line="271" w:lineRule="auto"/>
        <w:ind w:right="2" w:hanging="240"/>
        <w:jc w:val="left"/>
      </w:pPr>
      <w:r>
        <w:rPr>
          <w:b/>
        </w:rPr>
        <w:t xml:space="preserve">Перспективы развития Общества </w:t>
      </w:r>
    </w:p>
    <w:p w14:paraId="64677B32" w14:textId="77777777" w:rsidR="00CA5D1C" w:rsidRDefault="00D66E3F">
      <w:pPr>
        <w:ind w:left="-15" w:right="63" w:firstLine="425"/>
      </w:pPr>
      <w:r>
        <w:t xml:space="preserve">План развития деятельности Общества в будущем предусматривает </w:t>
      </w:r>
      <w:r>
        <w:t xml:space="preserve">расширение сферы оказываемых услуг существующего торгово-развлекательного центра с торговлей продовольственными и непродовольственными товарами, ледовым катком, аттракционами, спортивным залом, гостиницей, кинозалами и предприятиями общественного питания для организации отдыха населения и гостей города, а также проведения культурно-массовых мероприятий на коммерческой основе. </w:t>
      </w:r>
    </w:p>
    <w:p w14:paraId="70EE269C" w14:textId="77777777" w:rsidR="00CA5D1C" w:rsidRDefault="00D66E3F">
      <w:pPr>
        <w:ind w:left="-15" w:right="63" w:firstLine="425"/>
      </w:pPr>
      <w:r>
        <w:t xml:space="preserve">Приоритетным направлением деятельности Общества в 2024 году будет являться выполнение взятых на себя инвестиционных обязательств как участника свободной экономической зоны – продолжение реконструкции производственного корпуса №3 под спортивно-оздоровительный, гостиничный и торгово-развлекательный центр.  </w:t>
      </w:r>
    </w:p>
    <w:p w14:paraId="7B4C3072" w14:textId="77777777" w:rsidR="00CA5D1C" w:rsidRDefault="00D66E3F">
      <w:pPr>
        <w:ind w:left="435" w:right="63"/>
      </w:pPr>
      <w:r>
        <w:t xml:space="preserve">Данные мероприятия позволят: </w:t>
      </w:r>
    </w:p>
    <w:p w14:paraId="34EB7655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обеспечить организацию досуга и проведение постоянных оздоровительных, спортивнозрелищных и культурно-массовых мероприятий для жителей и гостей г. Севастополя (в т.ч. детей и молодежи), </w:t>
      </w:r>
    </w:p>
    <w:p w14:paraId="48276A87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развивать спортивно-оздоровительный туризм и способствовать духовному воспитанию населения, </w:t>
      </w:r>
    </w:p>
    <w:p w14:paraId="2B2E9A1B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способствовать удовлетворению спроса населения на услуги фитнес-клубов, </w:t>
      </w:r>
    </w:p>
    <w:p w14:paraId="35DAC837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обеспечить   отельными комплексными      услугами   достойного   уровня   иногородних посетителей и спортсменов, </w:t>
      </w:r>
    </w:p>
    <w:p w14:paraId="253FA79F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создать дополнительные рабочие места для жителей города, -  повысить имидж не только предприятия, но и города Севастополя, </w:t>
      </w:r>
    </w:p>
    <w:p w14:paraId="160E36BC" w14:textId="77777777" w:rsidR="00CA5D1C" w:rsidRDefault="00D66E3F">
      <w:pPr>
        <w:numPr>
          <w:ilvl w:val="1"/>
          <w:numId w:val="10"/>
        </w:numPr>
        <w:ind w:right="63" w:firstLine="425"/>
      </w:pPr>
      <w:r>
        <w:t xml:space="preserve">привлечь в город инвесторов.               </w:t>
      </w:r>
    </w:p>
    <w:p w14:paraId="3A569813" w14:textId="77777777" w:rsidR="00CA5D1C" w:rsidRDefault="00D66E3F">
      <w:pPr>
        <w:spacing w:after="163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2714D936" w14:textId="77777777" w:rsidR="00CA5D1C" w:rsidRDefault="00D66E3F">
      <w:pPr>
        <w:numPr>
          <w:ilvl w:val="2"/>
          <w:numId w:val="11"/>
        </w:numPr>
        <w:spacing w:after="14" w:line="271" w:lineRule="auto"/>
        <w:ind w:right="733" w:hanging="360"/>
        <w:jc w:val="left"/>
      </w:pPr>
      <w:r>
        <w:rPr>
          <w:b/>
        </w:rPr>
        <w:t xml:space="preserve">Отчет о выплате объявленных (начисленных) дивидендов по акциям Общества </w:t>
      </w:r>
    </w:p>
    <w:p w14:paraId="65DDAAF5" w14:textId="77777777" w:rsidR="00CA5D1C" w:rsidRDefault="00D66E3F">
      <w:pPr>
        <w:spacing w:after="102"/>
        <w:ind w:left="438" w:right="63"/>
      </w:pPr>
      <w:r>
        <w:t xml:space="preserve">За отчетный период дивиденды Обществом не начислялись и не выплачивались. </w:t>
      </w:r>
    </w:p>
    <w:p w14:paraId="03F457A4" w14:textId="77777777" w:rsidR="00CA5D1C" w:rsidRDefault="00D66E3F">
      <w:pPr>
        <w:spacing w:after="164" w:line="259" w:lineRule="auto"/>
        <w:ind w:left="428" w:firstLine="0"/>
        <w:jc w:val="left"/>
      </w:pPr>
      <w:r>
        <w:t xml:space="preserve"> </w:t>
      </w:r>
    </w:p>
    <w:p w14:paraId="4FD2F1DD" w14:textId="77777777" w:rsidR="00CA5D1C" w:rsidRDefault="00D66E3F">
      <w:pPr>
        <w:numPr>
          <w:ilvl w:val="2"/>
          <w:numId w:val="11"/>
        </w:numPr>
        <w:spacing w:after="148"/>
        <w:ind w:right="733" w:hanging="360"/>
        <w:jc w:val="left"/>
      </w:pPr>
      <w:r>
        <w:rPr>
          <w:b/>
        </w:rPr>
        <w:t xml:space="preserve">Описание основных факторов риска, связанных с деятельностью Общества. </w:t>
      </w:r>
    </w:p>
    <w:p w14:paraId="6A958978" w14:textId="77777777" w:rsidR="00CA5D1C" w:rsidRDefault="00D66E3F">
      <w:pPr>
        <w:ind w:left="438" w:right="63"/>
      </w:pPr>
      <w:r>
        <w:t xml:space="preserve">Для АО «Муссон» существует опасность наступления негативных последствий по следующим </w:t>
      </w:r>
    </w:p>
    <w:p w14:paraId="05C7A6CD" w14:textId="77777777" w:rsidR="00CA5D1C" w:rsidRDefault="00D66E3F">
      <w:pPr>
        <w:ind w:left="-5" w:right="63"/>
      </w:pPr>
      <w:r>
        <w:t xml:space="preserve">направлениям:  </w:t>
      </w:r>
    </w:p>
    <w:p w14:paraId="5756B0A8" w14:textId="77777777" w:rsidR="00CA5D1C" w:rsidRDefault="00D66E3F">
      <w:pPr>
        <w:spacing w:after="15" w:line="259" w:lineRule="auto"/>
        <w:ind w:left="428" w:firstLine="0"/>
        <w:jc w:val="left"/>
      </w:pPr>
      <w:r>
        <w:t xml:space="preserve"> </w:t>
      </w:r>
    </w:p>
    <w:p w14:paraId="33C400FD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10.1. Отраслевые риски </w:t>
      </w:r>
    </w:p>
    <w:p w14:paraId="0166A93B" w14:textId="77777777" w:rsidR="00CA5D1C" w:rsidRDefault="00D66E3F">
      <w:pPr>
        <w:ind w:left="-15" w:right="63" w:firstLine="428"/>
      </w:pPr>
      <w:r>
        <w:t xml:space="preserve">Отрасль деятельности эмитента - сдача торговых, офисных, складских помещений в аренду, индустрия развлечений, спортивная деятельность; сектор отрасли - рынок торговых и офисных помещений, рынок индустрии развлечений, рынок деятельности в области спорта.          Основными факторами, которые могут ухудшить ситуацию в отрасли эмитента и повлиять на его деятельность являются: </w:t>
      </w:r>
    </w:p>
    <w:p w14:paraId="5A76DC34" w14:textId="77777777" w:rsidR="00CA5D1C" w:rsidRDefault="00D66E3F">
      <w:pPr>
        <w:numPr>
          <w:ilvl w:val="1"/>
          <w:numId w:val="12"/>
        </w:numPr>
        <w:ind w:right="63"/>
      </w:pPr>
      <w:r>
        <w:t xml:space="preserve">Рост затрат на содержание недвижимости в связи с изменением цен на энергоносители (тепловую и электроэнергию) и налогообложения. </w:t>
      </w:r>
    </w:p>
    <w:p w14:paraId="1CEA9155" w14:textId="77777777" w:rsidR="00CA5D1C" w:rsidRDefault="00D66E3F">
      <w:pPr>
        <w:numPr>
          <w:ilvl w:val="1"/>
          <w:numId w:val="12"/>
        </w:numPr>
        <w:ind w:right="63"/>
      </w:pPr>
      <w:r>
        <w:t xml:space="preserve">Высокая конкуренция, развитие сети современных торгово-развлекательных комплексов, использующих современные технологии организации торговли и сервиса, удовлетворяющих международным стандартам качества. Строительство подобных комплексов означает усиление конкуренции на рынке торговой недвижимости города. </w:t>
      </w:r>
    </w:p>
    <w:p w14:paraId="6DD63208" w14:textId="77777777" w:rsidR="00CA5D1C" w:rsidRDefault="00D66E3F">
      <w:pPr>
        <w:numPr>
          <w:ilvl w:val="1"/>
          <w:numId w:val="12"/>
        </w:numPr>
        <w:ind w:right="63"/>
      </w:pPr>
      <w:r>
        <w:t xml:space="preserve">Снижение платежеспособности у населения, что может привести к снижению доходов эмитента от основных видов деятельности. </w:t>
      </w:r>
    </w:p>
    <w:p w14:paraId="4D4A5A09" w14:textId="77777777" w:rsidR="00CA5D1C" w:rsidRDefault="00D66E3F">
      <w:pPr>
        <w:ind w:left="-5" w:right="63"/>
      </w:pPr>
      <w:r>
        <w:t xml:space="preserve">         </w:t>
      </w:r>
      <w:r>
        <w:t xml:space="preserve">Основными действиями, предпринимаемыми эмитентом для снижения отраслевых рисков являются: </w:t>
      </w:r>
    </w:p>
    <w:p w14:paraId="386CF24C" w14:textId="77777777" w:rsidR="00CA5D1C" w:rsidRDefault="00D66E3F">
      <w:pPr>
        <w:spacing w:after="4" w:line="274" w:lineRule="auto"/>
        <w:ind w:left="-5" w:right="2945"/>
        <w:jc w:val="left"/>
      </w:pPr>
      <w:r>
        <w:t xml:space="preserve">- оптимизация объемов продаж услуг с целью снижения рисков; - разработка программ по снижению затрат на содержание помещений; - применение современных технологий организации бизнеса. </w:t>
      </w:r>
    </w:p>
    <w:p w14:paraId="46981E15" w14:textId="77777777" w:rsidR="00CA5D1C" w:rsidRDefault="00D66E3F">
      <w:pPr>
        <w:ind w:left="-15" w:right="63" w:firstLine="428"/>
      </w:pPr>
      <w:r>
        <w:t xml:space="preserve">При изменении цен на сырье и услуги, используемые эмитентом в своей деятельности, возможно замедление развития эмитента - снижение темпа строительства новых помещений для сдачи в аренду, новых объектов культуры и спорта, однако на продажу действующих услуг особого влияния данный фактор не должен оказать. </w:t>
      </w:r>
    </w:p>
    <w:p w14:paraId="54C6E89D" w14:textId="77777777" w:rsidR="00CA5D1C" w:rsidRDefault="00D66E3F">
      <w:pPr>
        <w:ind w:left="-15" w:right="63" w:firstLine="428"/>
      </w:pPr>
      <w:r>
        <w:t xml:space="preserve">При изменении цен на услуги эмитента возможно уменьшение дохода эмитента, однако данное уменьшение не будет значительным, поскольку эмитент является лидером на внутреннем рынке, особого влияния на деятельность эмитента и исполнение обязательств по ценным бумагам не будет. </w:t>
      </w:r>
    </w:p>
    <w:p w14:paraId="6DD6B8D5" w14:textId="77777777" w:rsidR="00CA5D1C" w:rsidRDefault="00D66E3F">
      <w:pPr>
        <w:spacing w:after="20" w:line="259" w:lineRule="auto"/>
        <w:ind w:left="428" w:firstLine="0"/>
        <w:jc w:val="left"/>
      </w:pPr>
      <w:r>
        <w:t xml:space="preserve"> </w:t>
      </w:r>
    </w:p>
    <w:p w14:paraId="617DAF80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10.2. Страновые и региональные риски </w:t>
      </w:r>
    </w:p>
    <w:p w14:paraId="2DC29F89" w14:textId="77777777" w:rsidR="00CA5D1C" w:rsidRDefault="00D66E3F">
      <w:pPr>
        <w:ind w:left="-15" w:right="63" w:firstLine="428"/>
      </w:pPr>
      <w:r>
        <w:t xml:space="preserve">Виды предпринимательской деятельности АО «Муссон» осуществляются непосредственно по месту нахождения Общества. </w:t>
      </w:r>
    </w:p>
    <w:p w14:paraId="1E6F230A" w14:textId="77777777" w:rsidR="00CA5D1C" w:rsidRDefault="00D66E3F">
      <w:pPr>
        <w:ind w:left="-15" w:right="63" w:firstLine="428"/>
      </w:pPr>
      <w:r>
        <w:t xml:space="preserve"> Предполагаемые действия Общества на случай отрицательного влияния изменения ситуации в стране и регионе на его деятельность. </w:t>
      </w:r>
    </w:p>
    <w:p w14:paraId="289FE910" w14:textId="77777777" w:rsidR="00CA5D1C" w:rsidRDefault="00D66E3F">
      <w:pPr>
        <w:ind w:left="-15" w:right="63" w:firstLine="428"/>
      </w:pPr>
      <w:r>
        <w:t xml:space="preserve">Общество оценивает политическую и экономическую ситуацию в стране и регионах как удовлетворительную и считает, что в настоящий момент риск значительных негативных изменений спрогнозировать не представляется возможным. </w:t>
      </w:r>
    </w:p>
    <w:p w14:paraId="19BCC7A8" w14:textId="77777777" w:rsidR="00CA5D1C" w:rsidRDefault="00D66E3F">
      <w:pPr>
        <w:ind w:left="-15" w:right="63" w:firstLine="428"/>
      </w:pPr>
      <w:r>
        <w:t xml:space="preserve">Большая часть данных рисков не может быть подконтрольна Обществу из-за их глобального масштаба. В случае дестабилизации ситуации в России или в отдельно взятом регионе, которая может негативно повлиять на деятельность Общества, последний будет принимать ряд мер по антикризисному управлению с целью максимального снижения негативного воздействия ситуации на Общество. </w:t>
      </w:r>
    </w:p>
    <w:p w14:paraId="7A443E63" w14:textId="77777777" w:rsidR="00CA5D1C" w:rsidRDefault="00D66E3F">
      <w:pPr>
        <w:ind w:left="-15" w:right="63" w:firstLine="428"/>
      </w:pPr>
      <w:r>
        <w:t xml:space="preserve">Риски, связанные с возможными военными конфликтами, введением чрезвычайного положения и забастовками в стране (странах) и регионе, в которых Общество зарегистрировано в качестве налогоплательщика и/или осуществляет основную деятельность. </w:t>
      </w:r>
    </w:p>
    <w:p w14:paraId="271A4B4F" w14:textId="77777777" w:rsidR="00CA5D1C" w:rsidRDefault="00D66E3F">
      <w:pPr>
        <w:ind w:left="-15" w:right="63" w:firstLine="428"/>
      </w:pPr>
      <w:r>
        <w:t xml:space="preserve">Риск введения чрезвычайного положения вследствие открытого военного конфликта и/или террористических актов оценивается как маловероятный на региональном уровне, этническая и социальная напряжённость в Севастополе не носит критического характера, регион удален от зон возможных локальных вооружённых конфликтов на других территориях Российской Федерации. </w:t>
      </w:r>
    </w:p>
    <w:p w14:paraId="36C7EC8B" w14:textId="77777777" w:rsidR="00CA5D1C" w:rsidRDefault="00D66E3F">
      <w:pPr>
        <w:ind w:left="-15" w:right="63" w:firstLine="428"/>
      </w:pPr>
      <w:r>
        <w:t>Тем не менее, Российская Федерация является многонациональным государством, включает в себя регионы с различным уровнем социального и экономического развития, в связи с чем нельзя полностью исключить возможность возникновения внутренних конфликтов, в том числе, с применением военной силы. Риск открытого военного конфликта, а также риск введения чрезвычайного положения в стране не может быть оценён Обществом. В случае наступления указанных событий Общество предпримет все необходимые меры, предписываемые дейс</w:t>
      </w:r>
      <w:r>
        <w:t xml:space="preserve">твующим законодательством. </w:t>
      </w:r>
    </w:p>
    <w:p w14:paraId="2ECA57FB" w14:textId="77777777" w:rsidR="00CA5D1C" w:rsidRDefault="00D66E3F">
      <w:pPr>
        <w:ind w:left="-15" w:right="63" w:firstLine="428"/>
      </w:pPr>
      <w:r>
        <w:t xml:space="preserve">Основным риском, которые тормозит развитие эмитента, являются санкции против РФ и недоброжелательное отношение к Крыму и Севастополю определенной массы населения. Это сказывается в отказе сетевых торговых сетей арендовать помещения в торговом центре, снижение потока приезжих из Украины и стран Европы. </w:t>
      </w:r>
    </w:p>
    <w:p w14:paraId="239DF69A" w14:textId="77777777" w:rsidR="00CA5D1C" w:rsidRDefault="00D66E3F">
      <w:pPr>
        <w:ind w:left="-15" w:right="63" w:firstLine="428"/>
      </w:pPr>
      <w:r>
        <w:t>Большинство из указанных в настоящем разделе рисков экономического, политического и правового характера ввиду глобальности их масштаба находятся вне контроля эмитента. В случае возникновения существенной политической и экономической нестабильности в России или в регионе, которая негативно повлияет на деятельность и доходы эмитента, предполагается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</w:t>
      </w:r>
      <w:r>
        <w:t xml:space="preserve">ции в стране и регионе на бизнес эмитента. </w:t>
      </w:r>
    </w:p>
    <w:p w14:paraId="7E0A312E" w14:textId="77777777" w:rsidR="00CA5D1C" w:rsidRDefault="00D66E3F">
      <w:pPr>
        <w:ind w:left="-15" w:right="63" w:firstLine="428"/>
      </w:pPr>
      <w:r>
        <w:t xml:space="preserve">Для снижения региональных рисков предполагается внедрение альтернативных источников обеспечения предприятия энергоресурсами, чтобы избежать проблем с возможными энергетическими блокадами Крыма, а также оптимизация структуры затрат. </w:t>
      </w:r>
    </w:p>
    <w:p w14:paraId="680DBD9A" w14:textId="77777777" w:rsidR="00CA5D1C" w:rsidRDefault="00D66E3F">
      <w:pPr>
        <w:spacing w:after="0" w:line="259" w:lineRule="auto"/>
        <w:ind w:left="428" w:firstLine="0"/>
        <w:jc w:val="left"/>
      </w:pPr>
      <w:r>
        <w:t xml:space="preserve"> </w:t>
      </w:r>
    </w:p>
    <w:p w14:paraId="722F9B94" w14:textId="77777777" w:rsidR="00CA5D1C" w:rsidRDefault="00D66E3F">
      <w:pPr>
        <w:spacing w:after="16" w:line="259" w:lineRule="auto"/>
        <w:ind w:left="428" w:firstLine="0"/>
        <w:jc w:val="left"/>
      </w:pPr>
      <w:r>
        <w:t xml:space="preserve"> </w:t>
      </w:r>
    </w:p>
    <w:p w14:paraId="2770666B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10.3. Финансовые риски </w:t>
      </w:r>
    </w:p>
    <w:p w14:paraId="1E15CED8" w14:textId="77777777" w:rsidR="00CA5D1C" w:rsidRDefault="00D66E3F">
      <w:pPr>
        <w:ind w:left="438" w:right="63"/>
      </w:pPr>
      <w:r>
        <w:t xml:space="preserve">Риски, связанные с изменением процентных ставок, курса обмена иностранных валют: средние.  </w:t>
      </w:r>
    </w:p>
    <w:p w14:paraId="45AD023F" w14:textId="77777777" w:rsidR="00CA5D1C" w:rsidRDefault="00D66E3F">
      <w:pPr>
        <w:spacing w:after="4" w:line="274" w:lineRule="auto"/>
        <w:ind w:left="-15" w:firstLine="428"/>
        <w:jc w:val="left"/>
      </w:pPr>
      <w:r>
        <w:t xml:space="preserve">Эмитент не имеет денежных обязательств перед кредитной организацией в иностранной валюте, в </w:t>
      </w:r>
      <w:r>
        <w:tab/>
        <w:t xml:space="preserve">связи с этим </w:t>
      </w:r>
      <w:r>
        <w:tab/>
        <w:t xml:space="preserve">отсутствуют </w:t>
      </w:r>
      <w:r>
        <w:tab/>
        <w:t xml:space="preserve">валютные </w:t>
      </w:r>
      <w:r>
        <w:tab/>
        <w:t xml:space="preserve">риски, </w:t>
      </w:r>
      <w:r>
        <w:tab/>
        <w:t xml:space="preserve">связанные со значительным изменением курса валют. </w:t>
      </w:r>
    </w:p>
    <w:p w14:paraId="193BF332" w14:textId="77777777" w:rsidR="00CA5D1C" w:rsidRDefault="00D66E3F">
      <w:pPr>
        <w:ind w:left="-15" w:right="63" w:firstLine="428"/>
      </w:pPr>
      <w:r>
        <w:t xml:space="preserve">В отношении значительных колебаний валютного курса можно отметить, что они повлияют прежде всего на экономику России в целом, а значит и на деятельность самого Эмитента. В связи с тем, что основные расчеты эмитент производит в рублях, изменение валютного курса (валютный риск) не приведет к значительному ухудшению финансового состояния эмитента, его ликвидности, а также источников финансирования. </w:t>
      </w:r>
    </w:p>
    <w:p w14:paraId="2BED8382" w14:textId="77777777" w:rsidR="00CA5D1C" w:rsidRDefault="00D66E3F">
      <w:pPr>
        <w:ind w:left="-15" w:right="63" w:firstLine="428"/>
      </w:pPr>
      <w:r>
        <w:t xml:space="preserve">В случае отрицательного влияния изменения валютного курса и процентных ставок на деятельность эмитента, эмитент планирует осуществить следующие мероприятия: пересмотреть структуру финансирования, оптимизировать затратную часть деятельности компании, уточнить программы капиталовложений и заимствований.  </w:t>
      </w:r>
    </w:p>
    <w:p w14:paraId="51DACA7F" w14:textId="77777777" w:rsidR="00CA5D1C" w:rsidRDefault="00D66E3F">
      <w:pPr>
        <w:ind w:left="-5" w:right="63"/>
      </w:pPr>
      <w:r>
        <w:t xml:space="preserve">         </w:t>
      </w:r>
      <w:r>
        <w:t xml:space="preserve">Влияние фактора инфляции, с точки зрения финансовых результатов деятельности Эмитента, неоднозначно. Увеличение темпов роста цен может привести к росту затрат Эмитента, стоимости заемных средств и стать причиной снижения показателей рентабельности. Поэтому в случае значительного превышения фактических показателей инфляции над прогнозами Правительства РФ, Эмитент планирует принять меры по ограничению роста затрат, снижению дебиторской задолженности и сокращению ее средних сроков. </w:t>
      </w:r>
    </w:p>
    <w:p w14:paraId="519753C9" w14:textId="77777777" w:rsidR="00CA5D1C" w:rsidRDefault="00D66E3F">
      <w:pPr>
        <w:ind w:left="-15" w:right="63" w:firstLine="428"/>
      </w:pPr>
      <w:r>
        <w:t xml:space="preserve">Критическим уровнем инфляции, переход которого может оказать существенное негативное влияние на развитие экономики в целом и бизнес климата в частности, является, по мнению эмитента, порог в 20 - 25 процентов в год. </w:t>
      </w:r>
    </w:p>
    <w:p w14:paraId="35762435" w14:textId="77777777" w:rsidR="00CA5D1C" w:rsidRDefault="00D66E3F">
      <w:pPr>
        <w:ind w:left="-15" w:right="63" w:firstLine="428"/>
      </w:pPr>
      <w:r>
        <w:t xml:space="preserve">Наиболее подвержены изменению в результате влияния указанных финансовых рисков (изменение процентных ставок, рост инфляции) следующие показатели финансовой отчетности: </w:t>
      </w:r>
    </w:p>
    <w:p w14:paraId="1057C519" w14:textId="77777777" w:rsidR="00CA5D1C" w:rsidRDefault="00D66E3F">
      <w:pPr>
        <w:numPr>
          <w:ilvl w:val="0"/>
          <w:numId w:val="13"/>
        </w:numPr>
        <w:ind w:right="63" w:hanging="139"/>
      </w:pPr>
      <w:r>
        <w:t xml:space="preserve">Кредиторская задолженность - увеличение сроков оборачиваемости. </w:t>
      </w:r>
    </w:p>
    <w:p w14:paraId="1230FA45" w14:textId="77777777" w:rsidR="00CA5D1C" w:rsidRDefault="00D66E3F">
      <w:pPr>
        <w:numPr>
          <w:ilvl w:val="0"/>
          <w:numId w:val="13"/>
        </w:numPr>
        <w:ind w:right="63" w:hanging="139"/>
      </w:pPr>
      <w:r>
        <w:t xml:space="preserve">Денежные средства - уменьшение свободных денежных средств. </w:t>
      </w:r>
    </w:p>
    <w:p w14:paraId="7BFDE6A7" w14:textId="77777777" w:rsidR="00CA5D1C" w:rsidRDefault="00D66E3F">
      <w:pPr>
        <w:numPr>
          <w:ilvl w:val="0"/>
          <w:numId w:val="13"/>
        </w:numPr>
        <w:ind w:right="63" w:hanging="139"/>
      </w:pPr>
      <w:r>
        <w:t xml:space="preserve">Прибыль от основной деятельности – сокращение. </w:t>
      </w:r>
    </w:p>
    <w:p w14:paraId="5686A0B5" w14:textId="77777777" w:rsidR="00CA5D1C" w:rsidRDefault="00D66E3F">
      <w:pPr>
        <w:ind w:left="-15" w:right="63" w:firstLine="428"/>
      </w:pPr>
      <w:r>
        <w:t xml:space="preserve">В настоящее время указанные риски и возможность их возникновения оцениваются эмитентом как минимальные. </w:t>
      </w:r>
    </w:p>
    <w:p w14:paraId="05D02C54" w14:textId="77777777" w:rsidR="00CA5D1C" w:rsidRDefault="00D66E3F">
      <w:pPr>
        <w:spacing w:after="15" w:line="259" w:lineRule="auto"/>
        <w:ind w:left="428" w:firstLine="0"/>
        <w:jc w:val="left"/>
      </w:pPr>
      <w:r>
        <w:t xml:space="preserve"> </w:t>
      </w:r>
    </w:p>
    <w:p w14:paraId="1E414D90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10.4. Правовые риски: </w:t>
      </w:r>
    </w:p>
    <w:p w14:paraId="4A4945E2" w14:textId="77777777" w:rsidR="00CA5D1C" w:rsidRDefault="00D66E3F">
      <w:pPr>
        <w:ind w:left="-15" w:right="63" w:firstLine="428"/>
      </w:pPr>
      <w:r>
        <w:t xml:space="preserve">Риски, связанные с изменением валютного, налогового, таможенного и лицензионного законодательства, которые могут повлечь за собой ухудшение финансового состояния эмитента, являются незначительными.  </w:t>
      </w:r>
    </w:p>
    <w:p w14:paraId="780ACE42" w14:textId="77777777" w:rsidR="00CA5D1C" w:rsidRDefault="00D66E3F">
      <w:pPr>
        <w:ind w:left="-15" w:right="63" w:firstLine="428"/>
      </w:pPr>
      <w:r>
        <w:t xml:space="preserve">Эмитент строит свою деятельность на основе строгого соответствия налоговому, таможенному, валютному законодательству и лицензионному законодательству, отслеживает и своевременно реагирует на изменения в них, а также стремится к конструктивному диалогу с регулирующими органами. </w:t>
      </w:r>
    </w:p>
    <w:p w14:paraId="5197AE0A" w14:textId="77777777" w:rsidR="00CA5D1C" w:rsidRDefault="00D66E3F">
      <w:pPr>
        <w:ind w:left="-15" w:right="63" w:firstLine="428"/>
      </w:pPr>
      <w:r>
        <w:t xml:space="preserve">Риски, связанные с возможностью изменения валютного регулирования на внешнем и внутреннем рынке, в настоящее время рассматриваются эмитентом как минимальные. </w:t>
      </w:r>
    </w:p>
    <w:p w14:paraId="42FC9D69" w14:textId="77777777" w:rsidR="00CA5D1C" w:rsidRDefault="00D66E3F">
      <w:pPr>
        <w:ind w:left="-15" w:right="63" w:firstLine="428"/>
      </w:pPr>
      <w:r>
        <w:t>Существенное значение для эмитента имеют правовые риски, связанные с изменением системы налогообложения, как на внешнем, так и на внутреннем рынке. Реформирование налоговой системы сопровождается изменениями законодательства и судебной практики. В связи с этим для эмитента существуют потенциальные источники финансовых потерь, вследствие приме нения различных штрафов и налоговых выплат в объемах больше ожидаемых.</w:t>
      </w:r>
      <w:r>
        <w:rPr>
          <w:color w:val="FF0000"/>
        </w:rPr>
        <w:t xml:space="preserve"> </w:t>
      </w:r>
    </w:p>
    <w:p w14:paraId="702F8E92" w14:textId="77777777" w:rsidR="00CA5D1C" w:rsidRDefault="00D66E3F">
      <w:pPr>
        <w:ind w:left="-5" w:right="63"/>
      </w:pPr>
      <w:r>
        <w:t xml:space="preserve">          Изменение правил таможенного контроля и пошлин могут оказать негативное влияние на деятельность эмитента, как на внутреннем, так и на внешнем рынках. </w:t>
      </w:r>
    </w:p>
    <w:p w14:paraId="6B7D778A" w14:textId="77777777" w:rsidR="00CA5D1C" w:rsidRDefault="00D66E3F">
      <w:pPr>
        <w:ind w:left="-15" w:right="63" w:firstLine="428"/>
      </w:pPr>
      <w:r>
        <w:t xml:space="preserve">Эмитент осуществляет виды деятельности, не требующие лицензирования, поэтому риск как на внешнем, так и на внутреннем рынке оценивается как минимальный. </w:t>
      </w:r>
    </w:p>
    <w:p w14:paraId="475FD6C1" w14:textId="77777777" w:rsidR="00CA5D1C" w:rsidRDefault="00D66E3F">
      <w:pPr>
        <w:ind w:left="-15" w:right="63" w:firstLine="428"/>
      </w:pPr>
      <w:r>
        <w:t>Риски, связанные с изменением судебной практики, как на внешнем, так и на внутреннем рынках, присутствуют и могут в дальнейшем негативно сказаться на результатах деятельности эмитента. На дату окончания отчетного периода эмитент не участвует в судебных процессах, которые могут привести к существенным затратам, оказать негативное влияние на внутреннем рынке и на его финансовое состояние. Эмитент не может полностью исключить возможность участия в судебных процессах, способных оказать влияние на его финансовое</w:t>
      </w:r>
      <w:r>
        <w:t xml:space="preserve"> состояние в будущем, поэтому данный риск оценивается как вероятный. </w:t>
      </w:r>
    </w:p>
    <w:p w14:paraId="42BE7A10" w14:textId="77777777" w:rsidR="00CA5D1C" w:rsidRDefault="00D66E3F">
      <w:pPr>
        <w:spacing w:after="22" w:line="259" w:lineRule="auto"/>
        <w:ind w:left="428" w:firstLine="0"/>
        <w:jc w:val="left"/>
      </w:pPr>
      <w:r>
        <w:t xml:space="preserve"> </w:t>
      </w:r>
    </w:p>
    <w:p w14:paraId="205D8A63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10.5. Риск потери деловой репутации (репутационный риск) </w:t>
      </w:r>
    </w:p>
    <w:p w14:paraId="3F92B1E3" w14:textId="77777777" w:rsidR="00CA5D1C" w:rsidRDefault="00D66E3F">
      <w:pPr>
        <w:ind w:left="-15" w:right="63" w:firstLine="428"/>
      </w:pPr>
      <w:r>
        <w:t xml:space="preserve">Риск возникновения у эмитента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эмитента, качестве его продукции (работ, услуг) или характере его деятельности в целом: эмитент оценивает возможность возникновения указанного риска как минимальную. Число клиентов напрямую сказывается на доходах эмитента, в связи с чем деловая репутация – очень важный показатель для эмитента. </w:t>
      </w:r>
    </w:p>
    <w:p w14:paraId="79BF1499" w14:textId="77777777" w:rsidR="00CA5D1C" w:rsidRDefault="00D66E3F">
      <w:pPr>
        <w:ind w:left="-15" w:right="63" w:firstLine="428"/>
      </w:pPr>
      <w:r>
        <w:t xml:space="preserve">В целях обеспечения эффективного управления риском потери деловой репутации органы управления эмитента принимают своевременные меры по устранению нарушений в деятельности эмитента.  </w:t>
      </w:r>
    </w:p>
    <w:p w14:paraId="32862832" w14:textId="77777777" w:rsidR="00CA5D1C" w:rsidRDefault="00D66E3F">
      <w:pPr>
        <w:spacing w:after="17" w:line="259" w:lineRule="auto"/>
        <w:ind w:left="428" w:firstLine="0"/>
        <w:jc w:val="left"/>
      </w:pPr>
      <w:r>
        <w:t xml:space="preserve"> </w:t>
      </w:r>
    </w:p>
    <w:p w14:paraId="5FC0CE52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10.6. Стратегический риск </w:t>
      </w:r>
    </w:p>
    <w:p w14:paraId="02B7F68F" w14:textId="77777777" w:rsidR="00CA5D1C" w:rsidRDefault="00D66E3F">
      <w:pPr>
        <w:spacing w:after="23" w:line="259" w:lineRule="auto"/>
        <w:ind w:left="428" w:firstLine="0"/>
        <w:jc w:val="left"/>
      </w:pPr>
      <w:r>
        <w:rPr>
          <w:b/>
        </w:rPr>
        <w:t xml:space="preserve"> </w:t>
      </w:r>
    </w:p>
    <w:p w14:paraId="667A8C76" w14:textId="77777777" w:rsidR="00CA5D1C" w:rsidRDefault="00D66E3F">
      <w:pPr>
        <w:ind w:left="-15" w:right="63" w:firstLine="428"/>
      </w:pPr>
      <w:r>
        <w:t xml:space="preserve">Стратегический риск связан с возможностью возникновения у Общества убытков в результате ошибок стратегического управления деятельностью. Ответственность за этот риск целиком и полностью возложена на руководство организации. </w:t>
      </w:r>
    </w:p>
    <w:p w14:paraId="066B73C6" w14:textId="77777777" w:rsidR="00CA5D1C" w:rsidRDefault="00D66E3F">
      <w:pPr>
        <w:ind w:left="-15" w:right="63" w:firstLine="428"/>
      </w:pPr>
      <w:r>
        <w:t xml:space="preserve">Данный вид риска минимизируется за счёт планирования текущей и инвестиционной деятельности. Применение современных технологий, привлечение высококвалифицированных специалистов и хороший менеджмент позволяют Обществу занимать одну из лидирующих позиций в отрасли. </w:t>
      </w:r>
    </w:p>
    <w:p w14:paraId="6345226F" w14:textId="77777777" w:rsidR="00CA5D1C" w:rsidRDefault="00D66E3F">
      <w:pPr>
        <w:spacing w:after="21" w:line="259" w:lineRule="auto"/>
        <w:ind w:left="428" w:firstLine="0"/>
        <w:jc w:val="left"/>
      </w:pPr>
      <w:r>
        <w:t xml:space="preserve">  </w:t>
      </w:r>
    </w:p>
    <w:p w14:paraId="6E46DC4E" w14:textId="77777777" w:rsidR="00CA5D1C" w:rsidRDefault="00D66E3F">
      <w:pPr>
        <w:spacing w:after="11"/>
        <w:ind w:left="423"/>
        <w:jc w:val="left"/>
      </w:pPr>
      <w:r>
        <w:rPr>
          <w:b/>
        </w:rPr>
        <w:t>10.7. Риски, связанные с деятельностью эмитента:</w:t>
      </w:r>
      <w:r>
        <w:t xml:space="preserve"> </w:t>
      </w:r>
    </w:p>
    <w:p w14:paraId="2F7E9054" w14:textId="77777777" w:rsidR="00CA5D1C" w:rsidRDefault="00D66E3F">
      <w:pPr>
        <w:spacing w:after="23" w:line="259" w:lineRule="auto"/>
        <w:ind w:left="428" w:firstLine="0"/>
        <w:jc w:val="left"/>
      </w:pPr>
      <w:r>
        <w:t xml:space="preserve">  </w:t>
      </w:r>
    </w:p>
    <w:p w14:paraId="2573A0E3" w14:textId="77777777" w:rsidR="00CA5D1C" w:rsidRDefault="00D66E3F">
      <w:pPr>
        <w:ind w:left="438" w:right="63"/>
      </w:pPr>
      <w:r>
        <w:t xml:space="preserve">Риски, связанные с текущими судебными процессами, в которых участвует Общество: </w:t>
      </w:r>
    </w:p>
    <w:p w14:paraId="5FEFEB0C" w14:textId="77777777" w:rsidR="00CA5D1C" w:rsidRDefault="00D66E3F">
      <w:pPr>
        <w:ind w:left="-15" w:right="63" w:firstLine="428"/>
      </w:pPr>
      <w:r>
        <w:t xml:space="preserve">Решения Конституционного Суда Российской Федерации, постановления Пленума Высшего Арбитражного Суда Российской Федерации и Верховного Суда Российской Федерации имеют все большее значение для правильности разрешения споров. </w:t>
      </w:r>
    </w:p>
    <w:p w14:paraId="1219093F" w14:textId="77777777" w:rsidR="00CA5D1C" w:rsidRDefault="00D66E3F">
      <w:pPr>
        <w:ind w:left="-15" w:right="63" w:firstLine="428"/>
      </w:pPr>
      <w:r>
        <w:t xml:space="preserve">АО «Муссон» осуществляет регулярный мониторинг решений, принимаемых высшими судами, а также оценивает тенденции правоприменительной практики, формирующейся на уровне окружных арбитражных судов, активно применяя и используя её при разрешении правовых вопросов, возникающих в процессе осуществления деятельности Общества. В связи с этим риски, связанные с изменением судебной практики, оцениваются как незначительные. </w:t>
      </w:r>
    </w:p>
    <w:p w14:paraId="65848037" w14:textId="77777777" w:rsidR="00CA5D1C" w:rsidRDefault="00D66E3F">
      <w:pPr>
        <w:ind w:left="-15" w:right="63" w:firstLine="428"/>
      </w:pPr>
      <w:r>
        <w:t xml:space="preserve">Риски, связанные с текущими судебными процессами, отсутствуют. Общество не принимает участие (как в качестве истца, так и в качестве ответчика) в судебных разбирательствах, результаты которых могли бы существенно отразиться на результатах его деятельности. </w:t>
      </w:r>
    </w:p>
    <w:p w14:paraId="27379F04" w14:textId="77777777" w:rsidR="00CA5D1C" w:rsidRDefault="00D66E3F">
      <w:pPr>
        <w:ind w:left="-15" w:right="63" w:firstLine="428"/>
      </w:pPr>
      <w:r>
        <w:t xml:space="preserve">Риски, связанные с отсутствием возможности продлить действие лицензии Общества на ведение определённого вида деятельности либо на использование объектов, нахождение которых в обороте ограничено (включая природные ресурсы): </w:t>
      </w:r>
    </w:p>
    <w:p w14:paraId="1BDC188C" w14:textId="77777777" w:rsidR="00CA5D1C" w:rsidRDefault="00D66E3F">
      <w:pPr>
        <w:ind w:left="-15" w:right="63" w:firstLine="428"/>
      </w:pPr>
      <w:r>
        <w:t xml:space="preserve">Риски, связанные с отсутствием возможности продлить действие лицензии Общества на ведение определённого вида деятельности либо на использование объектов, нахождение которых в обороте ограничено (включая природные ресурсы), не являются существенными, поскольку Общество не ведёт деятельности, подлежащей лицензированию, у Общества отсутствуют объекты, нахождение которых в обороте ограничено. </w:t>
      </w:r>
    </w:p>
    <w:p w14:paraId="65A68042" w14:textId="77777777" w:rsidR="00CA5D1C" w:rsidRDefault="00D66E3F">
      <w:pPr>
        <w:ind w:left="-15" w:right="63" w:firstLine="428"/>
      </w:pPr>
      <w:r>
        <w:t xml:space="preserve">Общество не предполагает осуществлять виды деятельности, требующие получения специального разрешения (лицензии) в соответствии с законодательством Российской Федерации или связанные с использованием объектов, нахождение которых в обороте ограничено (включая природные ресурсы). </w:t>
      </w:r>
    </w:p>
    <w:p w14:paraId="3F93562B" w14:textId="77777777" w:rsidR="00CA5D1C" w:rsidRDefault="00D66E3F">
      <w:pPr>
        <w:ind w:left="-15" w:right="63" w:firstLine="428"/>
      </w:pPr>
      <w:r>
        <w:t xml:space="preserve">Риски, связанные с возможностью потери потребителей, на оборот с которыми приходится не менее чем 10 процентов общей выручки от продажи продукции (работ, услуг) Общества: </w:t>
      </w:r>
    </w:p>
    <w:p w14:paraId="125D8292" w14:textId="77777777" w:rsidR="00CA5D1C" w:rsidRDefault="00D66E3F">
      <w:pPr>
        <w:ind w:left="-15" w:right="63" w:firstLine="428"/>
      </w:pPr>
      <w:r>
        <w:t xml:space="preserve">У Общества отсутствуют потребители, на оборот с которыми приходится не менее чем 10 процентов общей выручки от продажи продукции.   </w:t>
      </w:r>
    </w:p>
    <w:p w14:paraId="2866D170" w14:textId="77777777" w:rsidR="00CA5D1C" w:rsidRDefault="00D66E3F">
      <w:pPr>
        <w:spacing w:after="11"/>
        <w:ind w:left="423"/>
        <w:jc w:val="left"/>
      </w:pPr>
      <w:r>
        <w:rPr>
          <w:b/>
        </w:rPr>
        <w:t xml:space="preserve">10.8. Политика эмитента в области управления рисками:  </w:t>
      </w:r>
    </w:p>
    <w:p w14:paraId="0B7D8A96" w14:textId="77777777" w:rsidR="00CA5D1C" w:rsidRDefault="00D66E3F">
      <w:pPr>
        <w:ind w:left="-15" w:right="63" w:firstLine="428"/>
      </w:pPr>
      <w:r>
        <w:t>Политика Эмитента в области управления рисками состоит в минимизации непредвиденных потерь от рисков и максимизация капитализации Эмитента с учетом приемлемого для акционеров и руководства Эмитента соотношения между риском и доходностью вложений. Эмитентом применяется интегрированный подход к управлению рисками, который обеспечивает полный цикл, а именно: идентификацию, анализ, оценку и приоритезацию рисков, планирование и согласование мероприятий по управлению рисками, мониторинг и контроль по всем типам р</w:t>
      </w:r>
      <w:r>
        <w:t xml:space="preserve">исков присущих бизнесу Эмитента, по всей организационной структуре Эмитента. Информирование руководства Эмитента происходит по всему спектру рисков для гарантирования полноты, качества и сопоставимости предоставляемой информации для каждого из уровней принятия решения.  </w:t>
      </w:r>
    </w:p>
    <w:p w14:paraId="6A3A4840" w14:textId="77777777" w:rsidR="00CA5D1C" w:rsidRDefault="00D66E3F">
      <w:pPr>
        <w:spacing w:after="0" w:line="259" w:lineRule="auto"/>
        <w:ind w:left="417" w:firstLine="0"/>
        <w:jc w:val="center"/>
      </w:pPr>
      <w:r>
        <w:rPr>
          <w:b/>
          <w:color w:val="FF0000"/>
        </w:rPr>
        <w:t xml:space="preserve"> </w:t>
      </w:r>
    </w:p>
    <w:p w14:paraId="58F29C16" w14:textId="77777777" w:rsidR="00CA5D1C" w:rsidRDefault="00D66E3F">
      <w:pPr>
        <w:spacing w:after="24" w:line="259" w:lineRule="auto"/>
        <w:ind w:left="417" w:firstLine="0"/>
        <w:jc w:val="center"/>
      </w:pPr>
      <w:r>
        <w:rPr>
          <w:b/>
        </w:rPr>
        <w:t xml:space="preserve"> </w:t>
      </w:r>
    </w:p>
    <w:p w14:paraId="6E5AD3DA" w14:textId="77777777" w:rsidR="00CA5D1C" w:rsidRDefault="00D66E3F">
      <w:pPr>
        <w:numPr>
          <w:ilvl w:val="0"/>
          <w:numId w:val="14"/>
        </w:numPr>
        <w:spacing w:after="11"/>
        <w:ind w:hanging="360"/>
        <w:jc w:val="left"/>
      </w:pPr>
      <w:r>
        <w:rPr>
          <w:b/>
        </w:rPr>
        <w:t xml:space="preserve">Перечень совершенных Обществом крупных сделок и сделок, в совершении которых имелась заинтересованность. </w:t>
      </w:r>
    </w:p>
    <w:p w14:paraId="2D7E468F" w14:textId="77777777" w:rsidR="00CA5D1C" w:rsidRDefault="00D66E3F">
      <w:pPr>
        <w:spacing w:after="37" w:line="259" w:lineRule="auto"/>
        <w:ind w:left="417" w:firstLine="0"/>
        <w:jc w:val="center"/>
      </w:pPr>
      <w:r>
        <w:rPr>
          <w:b/>
        </w:rPr>
        <w:t xml:space="preserve"> </w:t>
      </w:r>
    </w:p>
    <w:p w14:paraId="6065B93C" w14:textId="77777777" w:rsidR="00CA5D1C" w:rsidRDefault="00D66E3F">
      <w:pPr>
        <w:numPr>
          <w:ilvl w:val="1"/>
          <w:numId w:val="14"/>
        </w:numPr>
        <w:ind w:right="63" w:firstLine="425"/>
      </w:pPr>
      <w:r>
        <w:t xml:space="preserve">Сделки, признаваемые в соответствии с федеральным законом от 26.12.1995 № 208-ФЗ «Об акционерных обществах» крупными сделками, Обществом в 2023 году не совершались. </w:t>
      </w:r>
    </w:p>
    <w:p w14:paraId="3980121B" w14:textId="77777777" w:rsidR="00CA5D1C" w:rsidRDefault="00D66E3F">
      <w:pPr>
        <w:spacing w:after="61" w:line="259" w:lineRule="auto"/>
        <w:ind w:left="425" w:firstLine="0"/>
        <w:jc w:val="left"/>
      </w:pPr>
      <w:r>
        <w:t xml:space="preserve"> </w:t>
      </w:r>
    </w:p>
    <w:p w14:paraId="01437173" w14:textId="77777777" w:rsidR="00CA5D1C" w:rsidRDefault="00D66E3F">
      <w:pPr>
        <w:numPr>
          <w:ilvl w:val="1"/>
          <w:numId w:val="14"/>
        </w:numPr>
        <w:ind w:right="63" w:firstLine="425"/>
      </w:pPr>
      <w:r>
        <w:t xml:space="preserve">Сведения о сделках с заинтересованностью, размер которых составлял менее 2% балансовой стоимости активов в Обществе: </w:t>
      </w:r>
    </w:p>
    <w:p w14:paraId="136401E0" w14:textId="77777777" w:rsidR="00CA5D1C" w:rsidRDefault="00D66E3F">
      <w:pPr>
        <w:ind w:left="718" w:right="63"/>
      </w:pPr>
      <w:r>
        <w:t xml:space="preserve">1. Категория сделки – сделка, в совершении которой имелась заинтересованность. </w:t>
      </w:r>
    </w:p>
    <w:p w14:paraId="7EA8B195" w14:textId="77777777" w:rsidR="00CA5D1C" w:rsidRDefault="00D66E3F">
      <w:pPr>
        <w:numPr>
          <w:ilvl w:val="3"/>
          <w:numId w:val="16"/>
        </w:numPr>
        <w:ind w:right="32" w:hanging="139"/>
        <w:jc w:val="left"/>
      </w:pPr>
      <w:r>
        <w:t xml:space="preserve">вид и предмет сделки – договор процентного займа №255/1-З от 26.05.2022 г </w:t>
      </w:r>
    </w:p>
    <w:p w14:paraId="28B1AA36" w14:textId="77777777" w:rsidR="00CA5D1C" w:rsidRDefault="00D66E3F">
      <w:pPr>
        <w:numPr>
          <w:ilvl w:val="3"/>
          <w:numId w:val="16"/>
        </w:numPr>
        <w:spacing w:after="4" w:line="274" w:lineRule="auto"/>
        <w:ind w:right="32" w:hanging="139"/>
        <w:jc w:val="left"/>
      </w:pPr>
      <w: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«Водно-спортивная база отдыха «Яхт-клуб «Юг». Договор процентного займа №255/1-З от 26.05.2022 г на сумму 20000000 рублей. </w:t>
      </w:r>
      <w:r>
        <w:tab/>
        <w:t xml:space="preserve">Проценты </w:t>
      </w:r>
      <w:r>
        <w:tab/>
        <w:t xml:space="preserve">за </w:t>
      </w:r>
      <w:r>
        <w:tab/>
        <w:t xml:space="preserve">пользование </w:t>
      </w:r>
      <w:r>
        <w:tab/>
        <w:t xml:space="preserve">средствами </w:t>
      </w:r>
      <w:r>
        <w:tab/>
        <w:t xml:space="preserve">– </w:t>
      </w:r>
      <w:r>
        <w:tab/>
        <w:t xml:space="preserve">8,4% </w:t>
      </w:r>
      <w:r>
        <w:tab/>
        <w:t xml:space="preserve">годовых.   </w:t>
      </w:r>
      <w:r>
        <w:tab/>
        <w:t xml:space="preserve">-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14:paraId="42DBAC43" w14:textId="77777777" w:rsidR="00CA5D1C" w:rsidRDefault="00D66E3F">
      <w:pPr>
        <w:ind w:left="-5" w:right="63"/>
      </w:pPr>
      <w:r>
        <w:t xml:space="preserve">Срок исполнения – займ предоставляется сроком на 1 год.  </w:t>
      </w:r>
    </w:p>
    <w:p w14:paraId="006C6D98" w14:textId="77777777" w:rsidR="00CA5D1C" w:rsidRDefault="00D66E3F">
      <w:pPr>
        <w:ind w:left="-5" w:right="63"/>
      </w:pPr>
      <w:r>
        <w:t xml:space="preserve">Стороны – АО «Муссон» (эмитент) и ООО «Водно-спортивная база отдыха «Яхт-клуб «Юг». </w:t>
      </w:r>
    </w:p>
    <w:p w14:paraId="5AB51F3B" w14:textId="77777777" w:rsidR="00CA5D1C" w:rsidRDefault="00D66E3F">
      <w:pPr>
        <w:ind w:left="-5" w:right="63"/>
      </w:pPr>
      <w:r>
        <w:t xml:space="preserve"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</w:t>
      </w:r>
    </w:p>
    <w:p w14:paraId="717C116B" w14:textId="77777777" w:rsidR="00CA5D1C" w:rsidRDefault="00D66E3F">
      <w:pPr>
        <w:ind w:left="-5" w:right="63"/>
      </w:pPr>
      <w:r>
        <w:t xml:space="preserve">Летчиков, д.11  </w:t>
      </w:r>
    </w:p>
    <w:p w14:paraId="3FB52C42" w14:textId="77777777" w:rsidR="00CA5D1C" w:rsidRDefault="00D66E3F">
      <w:pPr>
        <w:ind w:left="-5" w:right="63"/>
      </w:pPr>
      <w:r>
        <w:t xml:space="preserve">Размер сделки – 20000000 рублей, что составляет 0,71% от стоимости активов эмитента. </w:t>
      </w:r>
    </w:p>
    <w:p w14:paraId="246FB985" w14:textId="77777777" w:rsidR="00CA5D1C" w:rsidRDefault="00D66E3F">
      <w:pPr>
        <w:numPr>
          <w:ilvl w:val="3"/>
          <w:numId w:val="16"/>
        </w:numPr>
        <w:spacing w:after="4" w:line="274" w:lineRule="auto"/>
        <w:ind w:right="32" w:hanging="139"/>
        <w:jc w:val="left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31.12.2021 г. – 2820080000 рублей. </w:t>
      </w:r>
    </w:p>
    <w:p w14:paraId="6D2CD91D" w14:textId="77777777" w:rsidR="00CA5D1C" w:rsidRDefault="00D66E3F">
      <w:pPr>
        <w:numPr>
          <w:ilvl w:val="3"/>
          <w:numId w:val="16"/>
        </w:numPr>
        <w:ind w:right="32" w:hanging="139"/>
        <w:jc w:val="left"/>
      </w:pPr>
      <w:r>
        <w:t xml:space="preserve">дата совершения сделки– 16.01.2023 г. – перечислено 2000000 рублей. </w:t>
      </w:r>
    </w:p>
    <w:p w14:paraId="6C921768" w14:textId="77777777" w:rsidR="00CA5D1C" w:rsidRDefault="00D66E3F">
      <w:pPr>
        <w:tabs>
          <w:tab w:val="center" w:pos="708"/>
          <w:tab w:val="center" w:pos="1416"/>
          <w:tab w:val="center" w:pos="2124"/>
          <w:tab w:val="center" w:pos="2833"/>
          <w:tab w:val="center" w:pos="5824"/>
          <w:tab w:val="center" w:pos="8498"/>
          <w:tab w:val="center" w:pos="920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28.02.2023 г. – перечислено 2000000 рублей. </w:t>
      </w:r>
      <w:r>
        <w:tab/>
        <w:t xml:space="preserve"> </w:t>
      </w:r>
      <w:r>
        <w:tab/>
        <w:t xml:space="preserve"> </w:t>
      </w:r>
    </w:p>
    <w:p w14:paraId="3B98E3F2" w14:textId="77777777" w:rsidR="00CA5D1C" w:rsidRDefault="00D66E3F">
      <w:pPr>
        <w:numPr>
          <w:ilvl w:val="3"/>
          <w:numId w:val="17"/>
        </w:numPr>
        <w:ind w:right="63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>ресованному лицу акций) эмитента и юридического лица, являющегося стороной в сделке:          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участия заинтересованного лица в уставном (складочном) капитале эмитента – 58,73</w:t>
      </w:r>
      <w:r>
        <w:t xml:space="preserve">92%. Доля принадлежащих заинтересованному лицу акций эмитента – 58,7392% </w:t>
      </w:r>
    </w:p>
    <w:p w14:paraId="736D9BCB" w14:textId="77777777" w:rsidR="00CA5D1C" w:rsidRDefault="00D66E3F">
      <w:pPr>
        <w:ind w:left="-5" w:right="63"/>
      </w:pPr>
      <w:r>
        <w:t xml:space="preserve">Доля участия заинтересованного лица в уставном (складочном) капитале юридического лица, являющегося стороной в сделке – 87,5%. Доля принадлежащих заинтересованному лицу акций юридического лица, являющегося стороной в сделке – 87,5% </w:t>
      </w:r>
    </w:p>
    <w:p w14:paraId="4EFEB5A1" w14:textId="77777777" w:rsidR="00CA5D1C" w:rsidRDefault="00D66E3F">
      <w:pPr>
        <w:numPr>
          <w:ilvl w:val="3"/>
          <w:numId w:val="17"/>
        </w:numPr>
        <w:ind w:right="63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решение о согласии на совершение сделки не принималось. </w:t>
      </w:r>
    </w:p>
    <w:p w14:paraId="1C8AB722" w14:textId="77777777" w:rsidR="00CA5D1C" w:rsidRDefault="00D66E3F">
      <w:pPr>
        <w:ind w:left="718" w:right="63"/>
      </w:pPr>
      <w:r>
        <w:t xml:space="preserve">2. Категория сделки – сделка, в совершении которой имелась заинтересованность </w:t>
      </w:r>
    </w:p>
    <w:p w14:paraId="10A05E6F" w14:textId="77777777" w:rsidR="00CA5D1C" w:rsidRDefault="00D66E3F">
      <w:pPr>
        <w:numPr>
          <w:ilvl w:val="3"/>
          <w:numId w:val="19"/>
        </w:numPr>
        <w:ind w:right="63" w:firstLine="708"/>
      </w:pPr>
      <w:r>
        <w:t xml:space="preserve">вид и предмет сделки – договор процентного займа №212/1-З от 21.02.2023 г </w:t>
      </w:r>
    </w:p>
    <w:p w14:paraId="73537BF2" w14:textId="77777777" w:rsidR="00CA5D1C" w:rsidRDefault="00D66E3F">
      <w:pPr>
        <w:numPr>
          <w:ilvl w:val="3"/>
          <w:numId w:val="19"/>
        </w:numPr>
        <w:ind w:right="63" w:firstLine="708"/>
      </w:pPr>
      <w:r>
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«Водно-спортивная база отдыха «Яхт-клуб «Юг». Договор процентного займа №212/1-З от 21.02.2023 г на сумму 20000000 рублей. Проценты за пользование средствами – 11,24% годовых.   - Срок исполнения обязательств по сделке, стороны и выгодоприобретатели по сделке, размер сделки в денежном в</w:t>
      </w:r>
      <w:r>
        <w:t xml:space="preserve">ыражении и в процентах от стоимости активов эмитента: </w:t>
      </w:r>
    </w:p>
    <w:p w14:paraId="64C6F8E2" w14:textId="77777777" w:rsidR="00CA5D1C" w:rsidRDefault="00D66E3F">
      <w:pPr>
        <w:ind w:left="718" w:right="63"/>
      </w:pPr>
      <w:r>
        <w:t xml:space="preserve">Срок исполнения – займ предоставляется сроком на 1 год.  </w:t>
      </w:r>
    </w:p>
    <w:p w14:paraId="4046ED9D" w14:textId="77777777" w:rsidR="00CA5D1C" w:rsidRDefault="00D66E3F">
      <w:pPr>
        <w:ind w:left="-15" w:right="63" w:firstLine="708"/>
      </w:pPr>
      <w:r>
        <w:t xml:space="preserve">Стороны – АО «Муссон» (эмитент) и ООО «Водно-спортивная база отдыха «Яхт-клуб «Юг». </w:t>
      </w:r>
    </w:p>
    <w:p w14:paraId="7C166F02" w14:textId="77777777" w:rsidR="00CA5D1C" w:rsidRDefault="00D66E3F">
      <w:pPr>
        <w:ind w:left="-15" w:right="63" w:firstLine="708"/>
      </w:pPr>
      <w:r>
        <w:t xml:space="preserve">Выгодоприобретатель – Полное фирменное наименование: </w:t>
      </w:r>
      <w:r>
        <w:t xml:space="preserve">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</w:t>
      </w:r>
    </w:p>
    <w:p w14:paraId="03AD8ACE" w14:textId="77777777" w:rsidR="00CA5D1C" w:rsidRDefault="00D66E3F">
      <w:pPr>
        <w:ind w:left="-5" w:right="63"/>
      </w:pPr>
      <w:r>
        <w:t xml:space="preserve">Летчиков, д.11  </w:t>
      </w:r>
    </w:p>
    <w:p w14:paraId="33B2A3AE" w14:textId="77777777" w:rsidR="00CA5D1C" w:rsidRDefault="00D66E3F">
      <w:pPr>
        <w:ind w:left="718" w:right="63"/>
      </w:pPr>
      <w:r>
        <w:t xml:space="preserve">Размер сделки – 20000000 рублей, что составляет 0,63% от стоимости активов эмитента. </w:t>
      </w:r>
    </w:p>
    <w:p w14:paraId="673E0F71" w14:textId="77777777" w:rsidR="00CA5D1C" w:rsidRDefault="00D66E3F">
      <w:pPr>
        <w:numPr>
          <w:ilvl w:val="3"/>
          <w:numId w:val="19"/>
        </w:numPr>
        <w:ind w:right="63" w:firstLine="708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31.12.2023 г. – 3184931000 рублей. </w:t>
      </w:r>
    </w:p>
    <w:p w14:paraId="52E35BF5" w14:textId="77777777" w:rsidR="00CA5D1C" w:rsidRDefault="00D66E3F">
      <w:pPr>
        <w:numPr>
          <w:ilvl w:val="3"/>
          <w:numId w:val="19"/>
        </w:numPr>
        <w:ind w:right="63" w:firstLine="708"/>
      </w:pPr>
      <w:r>
        <w:t xml:space="preserve">дата совершения сделки– 28.02.2023 г. – перечислено 3000000 рублей. </w:t>
      </w:r>
    </w:p>
    <w:p w14:paraId="774BB425" w14:textId="77777777" w:rsidR="00CA5D1C" w:rsidRDefault="00D66E3F">
      <w:pPr>
        <w:spacing w:line="267" w:lineRule="auto"/>
        <w:ind w:left="178" w:right="1566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22.03.2023 г. – перечислено 3000000 рублей.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04.05.2023 г. – перечислено 3000000 рублей. </w:t>
      </w:r>
    </w:p>
    <w:p w14:paraId="2E4AF018" w14:textId="77777777" w:rsidR="00CA5D1C" w:rsidRDefault="00D66E3F">
      <w:pPr>
        <w:spacing w:line="267" w:lineRule="auto"/>
        <w:ind w:left="1382"/>
        <w:jc w:val="center"/>
      </w:pPr>
      <w:r>
        <w:t xml:space="preserve">27.07.2023 г. – перечислено 3000000 рублей. </w:t>
      </w:r>
    </w:p>
    <w:p w14:paraId="0BE99DEA" w14:textId="77777777" w:rsidR="00CA5D1C" w:rsidRDefault="00D66E3F">
      <w:pPr>
        <w:spacing w:line="267" w:lineRule="auto"/>
        <w:ind w:left="3011" w:right="1566"/>
        <w:jc w:val="center"/>
      </w:pPr>
      <w:r>
        <w:t xml:space="preserve">28.09.2023 г. – перечислено 3000000 рублей. 25.10.2023 г. – перечислено 3500000 рублей. 22.11.2023 г. – перечислено 1500000 рублей. </w:t>
      </w:r>
    </w:p>
    <w:p w14:paraId="1C5BE1A4" w14:textId="77777777" w:rsidR="00CA5D1C" w:rsidRDefault="00D66E3F">
      <w:pPr>
        <w:numPr>
          <w:ilvl w:val="5"/>
          <w:numId w:val="20"/>
        </w:numPr>
        <w:ind w:right="63" w:firstLine="708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>ресованному лицу акций) эмитента и юридического лица, являющегося стороной в сделке:  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участия заинтересованного лица в уставном (складочном) капитале эмитента – 58,7392%. Дол</w:t>
      </w:r>
      <w:r>
        <w:t xml:space="preserve">я принадлежащих </w:t>
      </w:r>
      <w:r>
        <w:tab/>
        <w:t xml:space="preserve">заинтересованному </w:t>
      </w:r>
      <w:r>
        <w:tab/>
        <w:t xml:space="preserve">лицу </w:t>
      </w:r>
      <w:r>
        <w:tab/>
        <w:t xml:space="preserve">акций </w:t>
      </w:r>
      <w:r>
        <w:tab/>
        <w:t xml:space="preserve">эмитента </w:t>
      </w:r>
      <w:r>
        <w:tab/>
        <w:t xml:space="preserve">– </w:t>
      </w:r>
      <w:r>
        <w:tab/>
        <w:t xml:space="preserve">58,7392% </w:t>
      </w:r>
    </w:p>
    <w:p w14:paraId="0BEC1CEF" w14:textId="77777777" w:rsidR="00CA5D1C" w:rsidRDefault="00D66E3F">
      <w:pPr>
        <w:ind w:left="-5" w:right="63"/>
      </w:pPr>
      <w:r>
        <w:t xml:space="preserve">Доля участия заинтересованного лица в уставном (складочном) капитале юридического лица, являющегося стороной в сделке – 87,5%. Доля принадлежащих заинтересованному лицу акций юридического лица, являющегося стороной в сделке – 87,5% </w:t>
      </w:r>
    </w:p>
    <w:p w14:paraId="7C1EB3D1" w14:textId="77777777" w:rsidR="00CA5D1C" w:rsidRDefault="00D66E3F">
      <w:pPr>
        <w:numPr>
          <w:ilvl w:val="5"/>
          <w:numId w:val="20"/>
        </w:numPr>
        <w:ind w:right="63" w:firstLine="708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решение о согласии на совершение сделки не принималось. </w:t>
      </w:r>
    </w:p>
    <w:p w14:paraId="40E56591" w14:textId="77777777" w:rsidR="00CA5D1C" w:rsidRDefault="00D66E3F">
      <w:pPr>
        <w:ind w:left="718" w:right="63"/>
      </w:pPr>
      <w:r>
        <w:t xml:space="preserve">3. Категория сделки – сделка, в совершении которой имелась заинтересованность </w:t>
      </w:r>
    </w:p>
    <w:p w14:paraId="3B764344" w14:textId="77777777" w:rsidR="00CA5D1C" w:rsidRDefault="00D66E3F">
      <w:pPr>
        <w:numPr>
          <w:ilvl w:val="4"/>
          <w:numId w:val="15"/>
        </w:numPr>
        <w:ind w:right="63" w:firstLine="708"/>
      </w:pPr>
      <w:r>
        <w:t xml:space="preserve">вид и предмет сделки – договор процентного займа №2111/2-З от 21.11.2023 г </w:t>
      </w:r>
    </w:p>
    <w:p w14:paraId="42FF6E81" w14:textId="77777777" w:rsidR="00CA5D1C" w:rsidRDefault="00D66E3F">
      <w:pPr>
        <w:numPr>
          <w:ilvl w:val="4"/>
          <w:numId w:val="15"/>
        </w:numPr>
        <w:spacing w:after="4" w:line="274" w:lineRule="auto"/>
        <w:ind w:right="63" w:firstLine="708"/>
      </w:pPr>
      <w: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«Водно-спортивная база отдыха «Яхт-клуб «Юг». Договор процентного займа №2111/2-З от 21.11.2023 г на сумму 18000000 </w:t>
      </w:r>
      <w:r>
        <w:tab/>
        <w:t xml:space="preserve">рублей. </w:t>
      </w:r>
      <w:r>
        <w:tab/>
        <w:t xml:space="preserve">Проценты </w:t>
      </w:r>
      <w:r>
        <w:tab/>
        <w:t xml:space="preserve">за </w:t>
      </w:r>
      <w:r>
        <w:tab/>
        <w:t xml:space="preserve">пользование </w:t>
      </w:r>
      <w:r>
        <w:tab/>
        <w:t xml:space="preserve">средствами </w:t>
      </w:r>
      <w:r>
        <w:tab/>
        <w:t xml:space="preserve">– </w:t>
      </w:r>
      <w:r>
        <w:tab/>
        <w:t xml:space="preserve">12% </w:t>
      </w:r>
      <w:r>
        <w:tab/>
        <w:t xml:space="preserve">годовых.   </w:t>
      </w:r>
      <w:r>
        <w:tab/>
        <w:t xml:space="preserve">-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14:paraId="5C3F2CCB" w14:textId="77777777" w:rsidR="00CA5D1C" w:rsidRDefault="00D66E3F">
      <w:pPr>
        <w:ind w:left="718" w:right="63"/>
      </w:pPr>
      <w:r>
        <w:t xml:space="preserve">Срок исполнения – займ предоставляется сроком на 1 год.  </w:t>
      </w:r>
    </w:p>
    <w:p w14:paraId="7EA65117" w14:textId="77777777" w:rsidR="00CA5D1C" w:rsidRDefault="00D66E3F">
      <w:pPr>
        <w:ind w:left="-15" w:right="63" w:firstLine="708"/>
      </w:pPr>
      <w:r>
        <w:t xml:space="preserve">Стороны – АО «Муссон» (эмитент) и ООО «Водно-спортивная база отдыха «Яхт-клуб «Юг». </w:t>
      </w:r>
    </w:p>
    <w:p w14:paraId="4D81EE65" w14:textId="77777777" w:rsidR="00CA5D1C" w:rsidRDefault="00D66E3F">
      <w:pPr>
        <w:ind w:left="-15" w:right="63" w:firstLine="708"/>
      </w:pPr>
      <w:r>
        <w:t xml:space="preserve"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</w:t>
      </w:r>
    </w:p>
    <w:p w14:paraId="0CA36918" w14:textId="77777777" w:rsidR="00CA5D1C" w:rsidRDefault="00D66E3F">
      <w:pPr>
        <w:ind w:left="-5" w:right="63"/>
      </w:pPr>
      <w:r>
        <w:t xml:space="preserve">Летчиков, д.11  </w:t>
      </w:r>
    </w:p>
    <w:p w14:paraId="74036D5F" w14:textId="77777777" w:rsidR="00CA5D1C" w:rsidRDefault="00D66E3F">
      <w:pPr>
        <w:ind w:left="718" w:right="63"/>
      </w:pPr>
      <w:r>
        <w:t xml:space="preserve">Размер сделки – 18000000 рублей, что составляет 0,56% от стоимости активов эмитента. </w:t>
      </w:r>
    </w:p>
    <w:p w14:paraId="4287C36F" w14:textId="77777777" w:rsidR="00CA5D1C" w:rsidRDefault="00D66E3F">
      <w:pPr>
        <w:numPr>
          <w:ilvl w:val="4"/>
          <w:numId w:val="15"/>
        </w:numPr>
        <w:ind w:right="63" w:firstLine="708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31.12.2023 г. – 3184931000 рублей. </w:t>
      </w:r>
    </w:p>
    <w:p w14:paraId="6D613EC8" w14:textId="77777777" w:rsidR="00CA5D1C" w:rsidRDefault="00D66E3F">
      <w:pPr>
        <w:numPr>
          <w:ilvl w:val="4"/>
          <w:numId w:val="15"/>
        </w:numPr>
        <w:ind w:right="63" w:firstLine="708"/>
      </w:pPr>
      <w:r>
        <w:t xml:space="preserve">дата совершения сделки– 29.11.2023 г. – перечислено 2500000 рублей. </w:t>
      </w:r>
    </w:p>
    <w:p w14:paraId="46B2671B" w14:textId="77777777" w:rsidR="00CA5D1C" w:rsidRDefault="00D66E3F">
      <w:pPr>
        <w:numPr>
          <w:ilvl w:val="4"/>
          <w:numId w:val="15"/>
        </w:numPr>
        <w:ind w:right="63" w:firstLine="708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 xml:space="preserve">ресованному лицу акций) эмитента и юридического лица, являющегося стороной в сделке:          </w:t>
      </w:r>
    </w:p>
    <w:p w14:paraId="452A58BD" w14:textId="77777777" w:rsidR="00CA5D1C" w:rsidRDefault="00D66E3F">
      <w:pPr>
        <w:spacing w:after="4" w:line="274" w:lineRule="auto"/>
        <w:ind w:left="-5"/>
        <w:jc w:val="left"/>
      </w:pPr>
      <w:r>
        <w:t xml:space="preserve">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участия заинтересованного лица в уставном (складочном) капитале эмитента – 58,7392%. Доля принадлежащих </w:t>
      </w:r>
      <w:r>
        <w:tab/>
        <w:t xml:space="preserve">заинтересованному </w:t>
      </w:r>
      <w:r>
        <w:tab/>
        <w:t xml:space="preserve">лицу </w:t>
      </w:r>
      <w:r>
        <w:tab/>
        <w:t xml:space="preserve">акций </w:t>
      </w:r>
      <w:r>
        <w:tab/>
        <w:t xml:space="preserve">эмитента </w:t>
      </w:r>
      <w:r>
        <w:tab/>
        <w:t xml:space="preserve">– </w:t>
      </w:r>
      <w:r>
        <w:tab/>
        <w:t xml:space="preserve">58,7392% Доля участия заинтересованного лица в уставном (складочном) капитале юридического лица, являющегося стороной в сделке – 87,5%. Доля принадлежащих заинтересованному лицу акций юридического лица, являющегося стороной в сделке – 87,5% </w:t>
      </w:r>
    </w:p>
    <w:p w14:paraId="049B3403" w14:textId="77777777" w:rsidR="00CA5D1C" w:rsidRDefault="00D66E3F">
      <w:pPr>
        <w:numPr>
          <w:ilvl w:val="4"/>
          <w:numId w:val="15"/>
        </w:numPr>
        <w:ind w:right="63" w:firstLine="708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решение о согласии на совершение сделки не принималось. </w:t>
      </w:r>
    </w:p>
    <w:p w14:paraId="51271967" w14:textId="77777777" w:rsidR="00CA5D1C" w:rsidRDefault="00D66E3F">
      <w:pPr>
        <w:ind w:left="718" w:right="63"/>
      </w:pPr>
      <w:r>
        <w:t xml:space="preserve">4. Категория сделки – сделка, в совершении которой имелась заинтересованность </w:t>
      </w:r>
    </w:p>
    <w:p w14:paraId="640654BD" w14:textId="77777777" w:rsidR="00CA5D1C" w:rsidRDefault="00D66E3F">
      <w:pPr>
        <w:numPr>
          <w:ilvl w:val="3"/>
          <w:numId w:val="18"/>
        </w:numPr>
        <w:ind w:right="63" w:firstLine="708"/>
      </w:pPr>
      <w:r>
        <w:t xml:space="preserve">вид и предмет сделки – договор процентного займа б/н от 20.12.2023 г </w:t>
      </w:r>
    </w:p>
    <w:p w14:paraId="61EDCC12" w14:textId="77777777" w:rsidR="00CA5D1C" w:rsidRDefault="00D66E3F">
      <w:pPr>
        <w:numPr>
          <w:ilvl w:val="3"/>
          <w:numId w:val="18"/>
        </w:numPr>
        <w:spacing w:after="4" w:line="274" w:lineRule="auto"/>
        <w:ind w:right="63" w:firstLine="708"/>
      </w:pPr>
      <w: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«ВПАС». Договор процентного займа б/н от 20.12.2023 г на сумму 30200000 рублей. Проценты за пользование средствами </w:t>
      </w:r>
      <w:r>
        <w:tab/>
        <w:t xml:space="preserve">– </w:t>
      </w:r>
      <w:r>
        <w:tab/>
        <w:t xml:space="preserve">6,2% </w:t>
      </w:r>
      <w:r>
        <w:tab/>
        <w:t xml:space="preserve">годовых.   </w:t>
      </w:r>
      <w:r>
        <w:tab/>
        <w:t xml:space="preserve">-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14:paraId="7ABAC094" w14:textId="77777777" w:rsidR="00CA5D1C" w:rsidRDefault="00D66E3F">
      <w:pPr>
        <w:ind w:left="718" w:right="63"/>
      </w:pPr>
      <w:r>
        <w:t xml:space="preserve">Срок исполнения – займ предоставляется сроком на 3 месяца.  </w:t>
      </w:r>
    </w:p>
    <w:p w14:paraId="697AD923" w14:textId="77777777" w:rsidR="00CA5D1C" w:rsidRDefault="00D66E3F">
      <w:pPr>
        <w:ind w:left="718" w:right="63"/>
      </w:pPr>
      <w:r>
        <w:t xml:space="preserve">Стороны – АО «Муссон» (эмитент) и ООО «ВПАС». </w:t>
      </w:r>
    </w:p>
    <w:p w14:paraId="28E8F8CB" w14:textId="77777777" w:rsidR="00CA5D1C" w:rsidRDefault="00D66E3F">
      <w:pPr>
        <w:ind w:left="-15" w:right="63" w:firstLine="708"/>
      </w:pPr>
      <w:r>
        <w:t xml:space="preserve">Выгодоприобретатель – Полное фирменное наименование: </w:t>
      </w:r>
      <w:r>
        <w:t xml:space="preserve">Общество с ограниченной ответственностью «ВПАС». Сокращенное фирменное наименование: ООО «ВПАС». Место нахождения: 299029, г. Севастополь, ул. Хрусталева, д.6, корпус А  </w:t>
      </w:r>
    </w:p>
    <w:p w14:paraId="0C9D5EDD" w14:textId="77777777" w:rsidR="00CA5D1C" w:rsidRDefault="00D66E3F">
      <w:pPr>
        <w:ind w:left="718" w:right="63"/>
      </w:pPr>
      <w:r>
        <w:t xml:space="preserve">Размер сделки – 30200000 рублей, что составляет 0,95% от стоимости активов эмитента. </w:t>
      </w:r>
    </w:p>
    <w:p w14:paraId="0C4CF2F8" w14:textId="77777777" w:rsidR="00CA5D1C" w:rsidRDefault="00D66E3F">
      <w:pPr>
        <w:numPr>
          <w:ilvl w:val="3"/>
          <w:numId w:val="18"/>
        </w:numPr>
        <w:ind w:right="63" w:firstLine="708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31.12.2023 г. – 3184931000 рублей. </w:t>
      </w:r>
    </w:p>
    <w:p w14:paraId="7F11CDC9" w14:textId="77777777" w:rsidR="00CA5D1C" w:rsidRDefault="00D66E3F">
      <w:pPr>
        <w:numPr>
          <w:ilvl w:val="3"/>
          <w:numId w:val="18"/>
        </w:numPr>
        <w:ind w:right="63" w:firstLine="708"/>
      </w:pPr>
      <w:r>
        <w:t xml:space="preserve">дата совершения сделки– 20.12.2023 г. – перечислено 30200000 рублей. </w:t>
      </w:r>
    </w:p>
    <w:p w14:paraId="691092FA" w14:textId="77777777" w:rsidR="00CA5D1C" w:rsidRDefault="00D66E3F">
      <w:pPr>
        <w:numPr>
          <w:ilvl w:val="3"/>
          <w:numId w:val="18"/>
        </w:numPr>
        <w:ind w:right="63" w:firstLine="708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 xml:space="preserve">ресованному лицу акций) эмитента и юридического лица, являющегося стороной в сделке:          </w:t>
      </w:r>
    </w:p>
    <w:p w14:paraId="3BE35D82" w14:textId="77777777" w:rsidR="00CA5D1C" w:rsidRDefault="00D66E3F">
      <w:pPr>
        <w:ind w:left="-5" w:right="63"/>
      </w:pPr>
      <w:r>
        <w:t xml:space="preserve">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Цымбал Сергей Владимирович. Основание – член Наблюдательного Совета эмитента и единоличный исполнительный орган юридического лица, являющегося стороной в сделке </w:t>
      </w:r>
    </w:p>
    <w:p w14:paraId="1C871228" w14:textId="77777777" w:rsidR="00CA5D1C" w:rsidRDefault="00D66E3F">
      <w:pPr>
        <w:numPr>
          <w:ilvl w:val="3"/>
          <w:numId w:val="18"/>
        </w:numPr>
        <w:ind w:right="63" w:firstLine="708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решение о согласии на совершение сделки не принималось. </w:t>
      </w:r>
    </w:p>
    <w:p w14:paraId="04D0386A" w14:textId="77777777" w:rsidR="00CA5D1C" w:rsidRDefault="00D66E3F">
      <w:pPr>
        <w:spacing w:after="0" w:line="259" w:lineRule="auto"/>
        <w:ind w:left="425" w:firstLine="0"/>
        <w:jc w:val="left"/>
      </w:pPr>
      <w:r>
        <w:t xml:space="preserve"> </w:t>
      </w:r>
    </w:p>
    <w:p w14:paraId="4310F09B" w14:textId="77777777" w:rsidR="00CA5D1C" w:rsidRDefault="00D66E3F">
      <w:pPr>
        <w:spacing w:after="20" w:line="259" w:lineRule="auto"/>
        <w:ind w:right="59"/>
        <w:jc w:val="right"/>
      </w:pPr>
      <w:r>
        <w:t xml:space="preserve">2. Сведения о сделках с заинтересованностью, размер которых составлял 2% и более </w:t>
      </w:r>
    </w:p>
    <w:p w14:paraId="7BEB49B0" w14:textId="77777777" w:rsidR="00CA5D1C" w:rsidRDefault="00D66E3F">
      <w:pPr>
        <w:ind w:left="-5" w:right="63"/>
      </w:pPr>
      <w:r>
        <w:t xml:space="preserve">балансовой стоимости активов. </w:t>
      </w:r>
    </w:p>
    <w:p w14:paraId="0C76EDE9" w14:textId="77777777" w:rsidR="00CA5D1C" w:rsidRDefault="00D66E3F">
      <w:pPr>
        <w:spacing w:after="0" w:line="259" w:lineRule="auto"/>
        <w:ind w:left="425" w:firstLine="0"/>
        <w:jc w:val="left"/>
      </w:pPr>
      <w:r>
        <w:t xml:space="preserve"> </w:t>
      </w:r>
    </w:p>
    <w:p w14:paraId="4991B89E" w14:textId="77777777" w:rsidR="00CA5D1C" w:rsidRDefault="00D66E3F">
      <w:pPr>
        <w:spacing w:after="20" w:line="259" w:lineRule="auto"/>
        <w:ind w:right="59"/>
        <w:jc w:val="right"/>
      </w:pPr>
      <w:r>
        <w:t xml:space="preserve">Сделки с заинтересованностью, размер которых составлял 2% и более балансовой стоимости </w:t>
      </w:r>
    </w:p>
    <w:p w14:paraId="76646F58" w14:textId="77777777" w:rsidR="00CA5D1C" w:rsidRDefault="00D66E3F">
      <w:pPr>
        <w:ind w:left="-5" w:right="63"/>
      </w:pPr>
      <w:r>
        <w:t xml:space="preserve">активов, за 2023 год не совершались. </w:t>
      </w:r>
    </w:p>
    <w:p w14:paraId="06107D08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41994B56" w14:textId="77777777" w:rsidR="00CA5D1C" w:rsidRDefault="00D66E3F">
      <w:pPr>
        <w:spacing w:after="22" w:line="259" w:lineRule="auto"/>
        <w:ind w:left="1068" w:firstLine="0"/>
        <w:jc w:val="left"/>
      </w:pPr>
      <w:r>
        <w:t xml:space="preserve">  </w:t>
      </w:r>
    </w:p>
    <w:p w14:paraId="30EBFB42" w14:textId="77777777" w:rsidR="00CA5D1C" w:rsidRDefault="00D66E3F">
      <w:pPr>
        <w:spacing w:line="335" w:lineRule="auto"/>
        <w:ind w:left="-15" w:right="63" w:firstLine="2754"/>
      </w:pPr>
      <w:r>
        <w:rPr>
          <w:b/>
        </w:rPr>
        <w:t xml:space="preserve">12. Состав Наблюдательного Совета Общества </w:t>
      </w:r>
      <w:r>
        <w:t xml:space="preserve">В соответствии с решением годового общего собрания акционеров, принятым 08 июня 2023 года, в Наблюдательный совет с 01.01.2023 года по 07.06.2023 года входили: </w:t>
      </w:r>
    </w:p>
    <w:p w14:paraId="6812E4B9" w14:textId="77777777" w:rsidR="00CA5D1C" w:rsidRDefault="00D66E3F">
      <w:pPr>
        <w:spacing w:after="3" w:line="263" w:lineRule="auto"/>
        <w:ind w:left="435"/>
        <w:jc w:val="left"/>
      </w:pPr>
      <w:r>
        <w:t xml:space="preserve"> ФИО:</w:t>
      </w:r>
      <w:r>
        <w:rPr>
          <w:b/>
          <w:i/>
        </w:rPr>
        <w:t xml:space="preserve"> Кожеватов Игорь Олегович</w:t>
      </w:r>
      <w:r>
        <w:t xml:space="preserve"> </w:t>
      </w:r>
      <w:r>
        <w:rPr>
          <w:b/>
          <w:i/>
        </w:rPr>
        <w:t>(председатель)</w:t>
      </w:r>
      <w:r>
        <w:t xml:space="preserve"> </w:t>
      </w:r>
    </w:p>
    <w:p w14:paraId="37DD6D91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1988</w:t>
      </w:r>
      <w:r>
        <w:t xml:space="preserve"> </w:t>
      </w:r>
    </w:p>
    <w:p w14:paraId="44C11DC8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техническое</w:t>
      </w:r>
      <w:r>
        <w:t xml:space="preserve"> </w:t>
      </w:r>
    </w:p>
    <w:p w14:paraId="3FA04DC9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03D4E07B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6DF8CB74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18B4749A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E9E7F9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25DA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3A19B3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25EDD5B9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A222C3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9C55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4EB5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2649E6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28FD46B8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02CD387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01.01.17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BBBA29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6E181C0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43B67D6" w14:textId="77777777" w:rsidR="00CA5D1C" w:rsidRDefault="00D66E3F">
            <w:pPr>
              <w:spacing w:after="22" w:line="259" w:lineRule="auto"/>
              <w:ind w:left="2" w:firstLine="0"/>
              <w:jc w:val="left"/>
            </w:pPr>
            <w:r>
              <w:t xml:space="preserve">заместитель </w:t>
            </w:r>
          </w:p>
          <w:p w14:paraId="760B4259" w14:textId="77777777" w:rsidR="00CA5D1C" w:rsidRDefault="00D66E3F">
            <w:pPr>
              <w:spacing w:after="0" w:line="259" w:lineRule="auto"/>
              <w:ind w:left="2" w:firstLine="0"/>
            </w:pPr>
            <w:r>
              <w:t xml:space="preserve">генерального директора </w:t>
            </w:r>
          </w:p>
        </w:tc>
      </w:tr>
    </w:tbl>
    <w:p w14:paraId="178EDA63" w14:textId="77777777" w:rsidR="00CA5D1C" w:rsidRDefault="00D66E3F">
      <w:pPr>
        <w:spacing w:after="9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E5CBDC3" w14:textId="77777777" w:rsidR="00CA5D1C" w:rsidRDefault="00D66E3F">
      <w:pPr>
        <w:ind w:left="210" w:right="63"/>
      </w:pPr>
      <w:r>
        <w:t>Доля участия лица в уставном капитале эмитента, %:</w:t>
      </w:r>
      <w:r>
        <w:rPr>
          <w:b/>
          <w:i/>
        </w:rPr>
        <w:t xml:space="preserve"> 0.0108</w:t>
      </w:r>
      <w:r>
        <w:t xml:space="preserve"> </w:t>
      </w:r>
    </w:p>
    <w:p w14:paraId="26E8CBB7" w14:textId="77777777" w:rsidR="00CA5D1C" w:rsidRDefault="00D66E3F">
      <w:pPr>
        <w:ind w:left="210" w:right="63"/>
      </w:pPr>
      <w:r>
        <w:t>Доля принадлежащих лицу обыкновенных акций эмитента, %:</w:t>
      </w:r>
      <w:r>
        <w:rPr>
          <w:b/>
          <w:i/>
        </w:rPr>
        <w:t xml:space="preserve"> 0.0108</w:t>
      </w:r>
      <w:r>
        <w:t xml:space="preserve"> </w:t>
      </w:r>
    </w:p>
    <w:p w14:paraId="4BDBF835" w14:textId="77777777" w:rsidR="00CA5D1C" w:rsidRDefault="00D66E3F">
      <w:pPr>
        <w:spacing w:after="5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0CDE318" w14:textId="77777777" w:rsidR="00CA5D1C" w:rsidRDefault="00D66E3F">
      <w:pPr>
        <w:spacing w:after="249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058DE165" w14:textId="77777777" w:rsidR="00CA5D1C" w:rsidRDefault="00D66E3F">
      <w:pPr>
        <w:spacing w:after="199"/>
        <w:ind w:left="210" w:right="63"/>
      </w:pPr>
      <w:r>
        <w:t xml:space="preserve">Cведения об участии в работе комитетов наблюдательного совета: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2F0C92B8" w14:textId="77777777" w:rsidR="00CA5D1C" w:rsidRDefault="00D66E3F">
      <w:pPr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>Лицо указанных долей не имеет</w:t>
      </w:r>
      <w:r>
        <w:rPr>
          <w:b/>
          <w:i/>
          <w:sz w:val="20"/>
        </w:rPr>
        <w:t xml:space="preserve"> </w:t>
      </w:r>
    </w:p>
    <w:p w14:paraId="10656B12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1DC95D4B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510CD239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73E9B596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7E8365F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 </w:t>
      </w:r>
    </w:p>
    <w:p w14:paraId="527AD684" w14:textId="77777777" w:rsidR="00CA5D1C" w:rsidRDefault="00D66E3F">
      <w:pPr>
        <w:spacing w:after="24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4D847765" w14:textId="77777777" w:rsidR="00CA5D1C" w:rsidRDefault="00D66E3F">
      <w:pPr>
        <w:spacing w:after="3" w:line="263" w:lineRule="auto"/>
        <w:ind w:left="195"/>
        <w:jc w:val="left"/>
      </w:pPr>
      <w:r>
        <w:t xml:space="preserve"> ФИО:</w:t>
      </w:r>
      <w:r>
        <w:rPr>
          <w:b/>
          <w:i/>
        </w:rPr>
        <w:t xml:space="preserve"> Лапочкин Андрей Альбертович</w:t>
      </w:r>
      <w:r>
        <w:t xml:space="preserve"> </w:t>
      </w:r>
    </w:p>
    <w:p w14:paraId="6DE537AE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1964</w:t>
      </w:r>
      <w:r>
        <w:t xml:space="preserve"> </w:t>
      </w:r>
    </w:p>
    <w:p w14:paraId="0D95EDD3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Среднее профессиональное</w:t>
      </w:r>
      <w:r>
        <w:t xml:space="preserve"> </w:t>
      </w:r>
    </w:p>
    <w:p w14:paraId="4BD16270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3ABA31AA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690F3C8D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14100B78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94C3B9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74D6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C000D69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778CF051" w14:textId="77777777">
        <w:trPr>
          <w:trHeight w:val="291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92CB09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DBA2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94A5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C39AA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21ADA369" w14:textId="77777777">
        <w:trPr>
          <w:trHeight w:val="307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4EC5127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8F23D94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312CB5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98D02B5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инженер по ремонту </w:t>
            </w:r>
          </w:p>
        </w:tc>
      </w:tr>
    </w:tbl>
    <w:p w14:paraId="1D62BBD4" w14:textId="77777777" w:rsidR="00CA5D1C" w:rsidRDefault="00D66E3F">
      <w:pPr>
        <w:spacing w:after="27" w:line="259" w:lineRule="auto"/>
        <w:ind w:left="0" w:firstLine="0"/>
        <w:jc w:val="left"/>
      </w:pPr>
      <w:r>
        <w:t xml:space="preserve"> </w:t>
      </w:r>
    </w:p>
    <w:p w14:paraId="6FCC6ED5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10C4D1C6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69B05E16" w14:textId="77777777" w:rsidR="00CA5D1C" w:rsidRDefault="00D66E3F">
      <w:pPr>
        <w:spacing w:after="249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2E1664EF" w14:textId="77777777" w:rsidR="00CA5D1C" w:rsidRDefault="00D66E3F">
      <w:pPr>
        <w:spacing w:after="249"/>
        <w:ind w:left="210" w:right="63"/>
      </w:pPr>
      <w:r>
        <w:t xml:space="preserve">Cведения об участии в работе комитетов наблюдательного совета: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2C2AF0BA" w14:textId="77777777" w:rsidR="00CA5D1C" w:rsidRDefault="00D66E3F">
      <w:pPr>
        <w:ind w:left="210" w:right="63"/>
      </w:pPr>
      <w:r>
        <w:rPr>
          <w:b/>
          <w:i/>
        </w:rPr>
        <w:t xml:space="preserve"> </w:t>
      </w: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0661E97D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754712AF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42A4BF35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45482301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7B73B387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20BB3DE7" w14:textId="77777777" w:rsidR="00CA5D1C" w:rsidRDefault="00D66E3F">
      <w:pPr>
        <w:spacing w:after="25" w:line="259" w:lineRule="auto"/>
        <w:ind w:left="200" w:firstLine="0"/>
        <w:jc w:val="left"/>
      </w:pPr>
      <w:r>
        <w:t xml:space="preserve"> </w:t>
      </w:r>
    </w:p>
    <w:p w14:paraId="4A428422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Цымбал Сергей Владимирович</w:t>
      </w:r>
      <w:r>
        <w:t xml:space="preserve"> </w:t>
      </w:r>
    </w:p>
    <w:p w14:paraId="74D3F58C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1970</w:t>
      </w:r>
      <w:r>
        <w:t xml:space="preserve"> </w:t>
      </w:r>
    </w:p>
    <w:p w14:paraId="027FFCF7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медицинское, высшее педагогическое</w:t>
      </w:r>
      <w:r>
        <w:t xml:space="preserve"> </w:t>
      </w:r>
    </w:p>
    <w:p w14:paraId="03184203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54A91BFF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283"/>
        <w:gridCol w:w="398"/>
      </w:tblGrid>
      <w:tr w:rsidR="00CA5D1C" w14:paraId="6E5A3CE6" w14:textId="77777777">
        <w:trPr>
          <w:trHeight w:val="305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6A3EB3B" w14:textId="77777777" w:rsidR="00CA5D1C" w:rsidRDefault="00D66E3F">
            <w:pPr>
              <w:spacing w:after="0" w:line="259" w:lineRule="auto"/>
              <w:ind w:left="72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843AB0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15FB" w14:textId="77777777" w:rsidR="00CA5D1C" w:rsidRDefault="00D66E3F">
            <w:pPr>
              <w:spacing w:after="0" w:line="259" w:lineRule="auto"/>
              <w:ind w:left="75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2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3FFD3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Должность </w:t>
            </w:r>
          </w:p>
        </w:tc>
        <w:tc>
          <w:tcPr>
            <w:tcW w:w="398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1D29F9A0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</w:tr>
      <w:tr w:rsidR="00CA5D1C" w14:paraId="28D3D6DF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DF323A" w14:textId="77777777" w:rsidR="00CA5D1C" w:rsidRDefault="00D66E3F">
            <w:pPr>
              <w:spacing w:after="0" w:line="259" w:lineRule="auto"/>
              <w:ind w:left="72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997D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0FA7" w14:textId="77777777" w:rsidR="00CA5D1C" w:rsidRDefault="00D66E3F">
            <w:pPr>
              <w:spacing w:after="0" w:line="259" w:lineRule="auto"/>
              <w:ind w:left="75" w:firstLine="0"/>
              <w:jc w:val="left"/>
            </w:pPr>
            <w:r>
              <w:t xml:space="preserve">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E438D6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1E6521F1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</w:tr>
      <w:tr w:rsidR="00CA5D1C" w14:paraId="75A83CEF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E6E4F4" w14:textId="77777777" w:rsidR="00CA5D1C" w:rsidRDefault="00D66E3F">
            <w:pPr>
              <w:spacing w:after="0" w:line="259" w:lineRule="auto"/>
              <w:ind w:left="72" w:firstLine="0"/>
              <w:jc w:val="left"/>
            </w:pPr>
            <w:r>
              <w:t xml:space="preserve">04.12.12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4A77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B1AA" w14:textId="77777777" w:rsidR="00CA5D1C" w:rsidRDefault="00D66E3F">
            <w:pPr>
              <w:spacing w:after="0" w:line="259" w:lineRule="auto"/>
              <w:ind w:left="75" w:firstLine="0"/>
              <w:jc w:val="left"/>
            </w:pPr>
            <w:r>
              <w:t xml:space="preserve">ООО "ПКФ "Орвис"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7991B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директор </w:t>
            </w: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63A96C2F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</w:tr>
      <w:tr w:rsidR="00CA5D1C" w14:paraId="25DF18DE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2369250" w14:textId="77777777" w:rsidR="00CA5D1C" w:rsidRDefault="00D66E3F">
            <w:pPr>
              <w:spacing w:after="0" w:line="259" w:lineRule="auto"/>
              <w:ind w:left="72" w:firstLine="0"/>
              <w:jc w:val="left"/>
            </w:pPr>
            <w:r>
              <w:t xml:space="preserve">2014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97D9B6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87DC01" w14:textId="77777777" w:rsidR="00CA5D1C" w:rsidRDefault="00D66E3F">
            <w:pPr>
              <w:spacing w:after="0" w:line="259" w:lineRule="auto"/>
              <w:ind w:left="75" w:firstLine="0"/>
              <w:jc w:val="left"/>
            </w:pPr>
            <w:r>
              <w:t xml:space="preserve">ООО "Орвис"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14:paraId="050FF7BF" w14:textId="77777777" w:rsidR="00CA5D1C" w:rsidRDefault="00D66E3F">
            <w:pPr>
              <w:spacing w:after="0" w:line="259" w:lineRule="auto"/>
              <w:ind w:left="74" w:firstLine="0"/>
              <w:jc w:val="left"/>
            </w:pPr>
            <w:r>
              <w:t xml:space="preserve">Директор </w:t>
            </w:r>
            <w:r>
              <w:t xml:space="preserve">совместительству) </w:t>
            </w: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50A004A5" w14:textId="77777777" w:rsidR="00CA5D1C" w:rsidRDefault="00D66E3F">
            <w:pPr>
              <w:spacing w:after="0" w:line="259" w:lineRule="auto"/>
              <w:ind w:left="0" w:firstLine="0"/>
            </w:pPr>
            <w:r>
              <w:t xml:space="preserve">(по </w:t>
            </w:r>
          </w:p>
        </w:tc>
      </w:tr>
    </w:tbl>
    <w:p w14:paraId="7AC9B7D7" w14:textId="77777777" w:rsidR="00CA5D1C" w:rsidRDefault="00D66E3F">
      <w:pPr>
        <w:spacing w:after="27" w:line="259" w:lineRule="auto"/>
        <w:ind w:left="0" w:firstLine="0"/>
        <w:jc w:val="left"/>
      </w:pPr>
      <w:r>
        <w:t xml:space="preserve"> </w:t>
      </w:r>
    </w:p>
    <w:p w14:paraId="279E9FFA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0B6C10D1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4BCDD0FB" w14:textId="77777777" w:rsidR="00CA5D1C" w:rsidRDefault="00D66E3F">
      <w:pPr>
        <w:spacing w:after="249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31D709B9" w14:textId="77777777" w:rsidR="00CA5D1C" w:rsidRDefault="00D66E3F">
      <w:pPr>
        <w:spacing w:after="201"/>
        <w:ind w:left="210" w:right="63"/>
      </w:pPr>
      <w:r>
        <w:t xml:space="preserve">Cведения об участии в </w:t>
      </w:r>
      <w:r>
        <w:t xml:space="preserve">работе комитетов наблюдательного совета: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219CBE33" w14:textId="77777777" w:rsidR="00CA5D1C" w:rsidRDefault="00D66E3F">
      <w:pPr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153962A7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558A5604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3712BDE2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50B4630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7C909D63" w14:textId="77777777" w:rsidR="00CA5D1C" w:rsidRDefault="00D66E3F">
      <w:pPr>
        <w:spacing w:after="24" w:line="259" w:lineRule="auto"/>
        <w:ind w:left="200" w:firstLine="0"/>
        <w:jc w:val="left"/>
      </w:pPr>
      <w:r>
        <w:t xml:space="preserve"> </w:t>
      </w:r>
    </w:p>
    <w:p w14:paraId="52F2EC21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Козырь (Плотка) Мария Владимировна</w:t>
      </w:r>
      <w:r>
        <w:t xml:space="preserve"> </w:t>
      </w:r>
    </w:p>
    <w:p w14:paraId="4C598FEB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1994</w:t>
      </w:r>
      <w:r>
        <w:rPr>
          <w:sz w:val="22"/>
        </w:rPr>
        <w:t xml:space="preserve"> </w:t>
      </w:r>
    </w:p>
    <w:p w14:paraId="22F313B9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юридическое</w:t>
      </w:r>
      <w:r>
        <w:t xml:space="preserve"> </w:t>
      </w:r>
    </w:p>
    <w:p w14:paraId="62486284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0DF858A5" w14:textId="77777777" w:rsidR="00CA5D1C" w:rsidRDefault="00D66E3F">
      <w:pPr>
        <w:spacing w:after="0" w:line="259" w:lineRule="auto"/>
        <w:ind w:left="284" w:firstLine="0"/>
        <w:jc w:val="left"/>
      </w:pPr>
      <w:r>
        <w:t xml:space="preserve"> </w:t>
      </w:r>
    </w:p>
    <w:tbl>
      <w:tblPr>
        <w:tblStyle w:val="TableGrid"/>
        <w:tblW w:w="9254" w:type="dxa"/>
        <w:tblInd w:w="284" w:type="dxa"/>
        <w:tblCellMar>
          <w:top w:w="1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32"/>
        <w:gridCol w:w="1261"/>
        <w:gridCol w:w="3982"/>
        <w:gridCol w:w="2679"/>
      </w:tblGrid>
      <w:tr w:rsidR="00CA5D1C" w14:paraId="28DBE2CA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B6D5AA2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>Период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1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3A9E2A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9CA1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CFB191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Должность </w:t>
            </w:r>
          </w:p>
        </w:tc>
      </w:tr>
      <w:tr w:rsidR="00CA5D1C" w14:paraId="450B1D9E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98346E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 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19A7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16A0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C1D4BD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A5D1C" w14:paraId="32ABFF15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7C10C3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2015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E4ED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3B01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Индивидуальный предприниматель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8A66636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B659DD3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54646F48" w14:textId="77777777" w:rsidR="00CA5D1C" w:rsidRDefault="00D66E3F">
      <w:pPr>
        <w:spacing w:after="27" w:line="259" w:lineRule="auto"/>
        <w:ind w:left="0" w:firstLine="0"/>
        <w:jc w:val="left"/>
      </w:pPr>
      <w:r>
        <w:t xml:space="preserve"> </w:t>
      </w:r>
    </w:p>
    <w:p w14:paraId="2C0E0FDF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3283BB60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02B811CB" w14:textId="77777777" w:rsidR="00CA5D1C" w:rsidRDefault="00D66E3F">
      <w:pPr>
        <w:spacing w:after="250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опционов.</w:t>
      </w:r>
      <w:r>
        <w:t xml:space="preserve"> </w:t>
      </w:r>
    </w:p>
    <w:p w14:paraId="6A8F49E6" w14:textId="77777777" w:rsidR="00CA5D1C" w:rsidRDefault="00D66E3F">
      <w:pPr>
        <w:spacing w:after="248"/>
        <w:ind w:left="210" w:right="63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1612DC65" w14:textId="77777777" w:rsidR="00CA5D1C" w:rsidRDefault="00D66E3F">
      <w:pPr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имеет. </w:t>
      </w:r>
    </w:p>
    <w:p w14:paraId="6C9DBF05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Родственные связи с членом наблюдательного совета и единоличным исполнительным органом Общества. </w:t>
      </w:r>
    </w:p>
    <w:p w14:paraId="7AB602B9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3393603B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привлекалось. </w:t>
      </w:r>
    </w:p>
    <w:p w14:paraId="37DF7600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12BEAB2E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занимало.</w:t>
      </w:r>
      <w:r>
        <w:t xml:space="preserve"> </w:t>
      </w:r>
    </w:p>
    <w:p w14:paraId="37B9BAA2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B39B828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205AD889" w14:textId="77777777" w:rsidR="00CA5D1C" w:rsidRDefault="00D66E3F">
      <w:pPr>
        <w:spacing w:after="3" w:line="263" w:lineRule="auto"/>
        <w:ind w:left="195" w:right="5648"/>
        <w:jc w:val="left"/>
      </w:pPr>
      <w:r>
        <w:t>ФИО:</w:t>
      </w:r>
      <w:r>
        <w:rPr>
          <w:b/>
          <w:i/>
        </w:rPr>
        <w:t xml:space="preserve"> Лазоренко Светлана Сергеевна</w:t>
      </w:r>
      <w:r>
        <w:t xml:space="preserve"> Год рождения:</w:t>
      </w:r>
      <w:r>
        <w:rPr>
          <w:b/>
          <w:i/>
        </w:rPr>
        <w:t xml:space="preserve"> 1988</w:t>
      </w:r>
      <w:r>
        <w:t xml:space="preserve"> </w:t>
      </w:r>
    </w:p>
    <w:p w14:paraId="5831B8F0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экономическое</w:t>
      </w:r>
      <w:r>
        <w:t xml:space="preserve"> </w:t>
      </w:r>
    </w:p>
    <w:p w14:paraId="0690BFBC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7A183C07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6B7BA8BA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EC3C33F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5EE2E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0738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34C524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663A1DFE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04DFAF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F6A6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E904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9F1D77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1E35EC41" w14:textId="77777777">
        <w:trPr>
          <w:trHeight w:val="859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E9D8937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08.08.16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A5EB0E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4375D63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B068EFC" w14:textId="77777777" w:rsidR="00CA5D1C" w:rsidRDefault="00D66E3F">
            <w:pPr>
              <w:spacing w:after="0" w:line="277" w:lineRule="auto"/>
              <w:ind w:left="2" w:firstLine="0"/>
            </w:pPr>
            <w:r>
              <w:t xml:space="preserve">начальник управления экономики и ценных </w:t>
            </w:r>
          </w:p>
          <w:p w14:paraId="05A8223B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бумаг </w:t>
            </w:r>
          </w:p>
        </w:tc>
      </w:tr>
    </w:tbl>
    <w:p w14:paraId="15B543A5" w14:textId="77777777" w:rsidR="00CA5D1C" w:rsidRDefault="00D66E3F">
      <w:pPr>
        <w:spacing w:after="27" w:line="259" w:lineRule="auto"/>
        <w:ind w:left="0" w:firstLine="0"/>
        <w:jc w:val="left"/>
      </w:pPr>
      <w:r>
        <w:t xml:space="preserve"> </w:t>
      </w:r>
    </w:p>
    <w:p w14:paraId="65F0D619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63527005" w14:textId="77777777" w:rsidR="00CA5D1C" w:rsidRDefault="00D66E3F">
      <w:pPr>
        <w:spacing w:after="23" w:line="259" w:lineRule="auto"/>
        <w:ind w:left="0" w:firstLine="0"/>
        <w:jc w:val="left"/>
      </w:pPr>
      <w:r>
        <w:t xml:space="preserve"> </w:t>
      </w:r>
    </w:p>
    <w:p w14:paraId="6CA06214" w14:textId="77777777" w:rsidR="00CA5D1C" w:rsidRDefault="00D66E3F">
      <w:pPr>
        <w:spacing w:after="249"/>
        <w:ind w:left="210" w:right="63"/>
      </w:pPr>
      <w:r>
        <w:t xml:space="preserve">Количество акций эмитента каждой категории (типа), которые могут </w:t>
      </w:r>
      <w:r>
        <w:t>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5FDF998B" w14:textId="77777777" w:rsidR="00CA5D1C" w:rsidRDefault="00D66E3F">
      <w:pPr>
        <w:spacing w:after="201"/>
        <w:ind w:left="210" w:right="63"/>
      </w:pPr>
      <w:r>
        <w:t xml:space="preserve">Cведения об участии в работе комитетов наблюдательного совета: </w:t>
      </w:r>
      <w:r>
        <w:rPr>
          <w:b/>
          <w:i/>
        </w:rPr>
        <w:t xml:space="preserve">Комитеты наблюдательного совета не сформированы. </w:t>
      </w:r>
      <w:r>
        <w:t xml:space="preserve"> </w:t>
      </w:r>
    </w:p>
    <w:p w14:paraId="20124223" w14:textId="77777777" w:rsidR="00CA5D1C" w:rsidRDefault="00D66E3F">
      <w:pPr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77800DFB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06A54B27" w14:textId="77777777" w:rsidR="00CA5D1C" w:rsidRDefault="00D66E3F">
      <w:pPr>
        <w:spacing w:after="23" w:line="259" w:lineRule="auto"/>
        <w:ind w:left="200" w:firstLine="0"/>
        <w:jc w:val="left"/>
      </w:pPr>
      <w:r>
        <w:t xml:space="preserve"> </w:t>
      </w:r>
    </w:p>
    <w:p w14:paraId="0E40B91D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640A4BE0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7A0DAF02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 </w:t>
      </w:r>
    </w:p>
    <w:p w14:paraId="79FFC95F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4DD4635" w14:textId="77777777" w:rsidR="00CA5D1C" w:rsidRDefault="00D66E3F">
      <w:pPr>
        <w:spacing w:after="24" w:line="259" w:lineRule="auto"/>
        <w:ind w:left="200" w:firstLine="0"/>
        <w:jc w:val="left"/>
      </w:pPr>
      <w:r>
        <w:t xml:space="preserve"> </w:t>
      </w:r>
    </w:p>
    <w:p w14:paraId="17DB5378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Плотка Владимир Григорьевич</w:t>
      </w:r>
      <w:r>
        <w:t xml:space="preserve"> </w:t>
      </w:r>
    </w:p>
    <w:p w14:paraId="541DF1DE" w14:textId="77777777" w:rsidR="00CA5D1C" w:rsidRDefault="00D66E3F">
      <w:pPr>
        <w:ind w:left="210" w:right="6582"/>
      </w:pPr>
      <w:r>
        <w:t>Год рождения:</w:t>
      </w:r>
      <w:r>
        <w:rPr>
          <w:b/>
          <w:i/>
        </w:rPr>
        <w:t xml:space="preserve"> 1964</w:t>
      </w:r>
      <w:r>
        <w:t xml:space="preserve"> Образование: </w:t>
      </w:r>
      <w:r>
        <w:rPr>
          <w:b/>
          <w:i/>
        </w:rPr>
        <w:t>Высшее</w:t>
      </w:r>
      <w:r>
        <w:t xml:space="preserve"> </w:t>
      </w:r>
    </w:p>
    <w:p w14:paraId="1BD4B23C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 </w:t>
      </w:r>
    </w:p>
    <w:p w14:paraId="49C66071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2829E55B" w14:textId="77777777">
        <w:trPr>
          <w:trHeight w:val="305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A6EB52D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96F4A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51F6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18094F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34092A0C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509CBD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DFD8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2B7F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EA92A9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4EEE2804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9EE13B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6A3B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0C16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FF79BD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CA5D1C" w14:paraId="17D99B30" w14:textId="77777777">
        <w:trPr>
          <w:trHeight w:val="584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18211EC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04.10.16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F656DD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6F24BE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ООО "ВСБО "Яхт-клуб "Юг"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0E1594E" w14:textId="77777777" w:rsidR="00CA5D1C" w:rsidRDefault="00D66E3F">
            <w:pPr>
              <w:tabs>
                <w:tab w:val="right" w:pos="2599"/>
              </w:tabs>
              <w:spacing w:after="28" w:line="259" w:lineRule="auto"/>
              <w:ind w:left="0" w:firstLine="0"/>
              <w:jc w:val="left"/>
            </w:pPr>
            <w:r>
              <w:t xml:space="preserve">директор </w:t>
            </w:r>
            <w:r>
              <w:tab/>
              <w:t xml:space="preserve">(по </w:t>
            </w:r>
          </w:p>
          <w:p w14:paraId="302BB55E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совместительству) </w:t>
            </w:r>
          </w:p>
        </w:tc>
      </w:tr>
    </w:tbl>
    <w:p w14:paraId="12233138" w14:textId="77777777" w:rsidR="00CA5D1C" w:rsidRDefault="00D66E3F">
      <w:pPr>
        <w:spacing w:after="16" w:line="259" w:lineRule="auto"/>
        <w:ind w:left="0" w:firstLine="0"/>
        <w:jc w:val="left"/>
      </w:pPr>
      <w:r>
        <w:t xml:space="preserve"> </w:t>
      </w:r>
    </w:p>
    <w:p w14:paraId="6B23EE55" w14:textId="77777777" w:rsidR="00CA5D1C" w:rsidRDefault="00D66E3F">
      <w:pPr>
        <w:ind w:left="210" w:right="63"/>
      </w:pPr>
      <w:r>
        <w:t>Доля участия лица в уставном капитале эмитента, %:</w:t>
      </w:r>
      <w:r>
        <w:rPr>
          <w:b/>
          <w:i/>
        </w:rPr>
        <w:t xml:space="preserve"> 58.7392</w:t>
      </w:r>
      <w:r>
        <w:t xml:space="preserve"> </w:t>
      </w:r>
    </w:p>
    <w:p w14:paraId="5C7B2D89" w14:textId="77777777" w:rsidR="00CA5D1C" w:rsidRDefault="00D66E3F">
      <w:pPr>
        <w:ind w:left="210" w:right="63"/>
      </w:pPr>
      <w:r>
        <w:t>Доля принадлежащих лицу обыкновенных акций эмитента, %:</w:t>
      </w:r>
      <w:r>
        <w:rPr>
          <w:b/>
          <w:i/>
        </w:rPr>
        <w:t xml:space="preserve"> 58.7392</w:t>
      </w:r>
      <w:r>
        <w:t xml:space="preserve"> </w:t>
      </w:r>
    </w:p>
    <w:p w14:paraId="7C8EC7F1" w14:textId="77777777" w:rsidR="00CA5D1C" w:rsidRDefault="00D66E3F">
      <w:pPr>
        <w:spacing w:after="23" w:line="259" w:lineRule="auto"/>
        <w:ind w:left="0" w:firstLine="0"/>
        <w:jc w:val="left"/>
      </w:pPr>
      <w:r>
        <w:t xml:space="preserve"> </w:t>
      </w:r>
    </w:p>
    <w:p w14:paraId="0C996D54" w14:textId="77777777" w:rsidR="00CA5D1C" w:rsidRDefault="00D66E3F">
      <w:pPr>
        <w:spacing w:after="249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7503DDE5" w14:textId="77777777" w:rsidR="00CA5D1C" w:rsidRDefault="00D66E3F">
      <w:pPr>
        <w:spacing w:after="201"/>
        <w:ind w:left="210" w:right="63"/>
      </w:pPr>
      <w:r>
        <w:t xml:space="preserve">Сведения об участии в работе комитетов совета директоров: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306484BE" w14:textId="77777777" w:rsidR="00CA5D1C" w:rsidRDefault="00D66E3F">
      <w:pPr>
        <w:spacing w:after="51"/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</w:p>
    <w:p w14:paraId="1B452BE4" w14:textId="77777777" w:rsidR="00CA5D1C" w:rsidRDefault="00D66E3F">
      <w:pPr>
        <w:ind w:left="411" w:right="63"/>
      </w:pPr>
      <w:r>
        <w:t>Полное фирменное наименование:</w:t>
      </w:r>
      <w:r>
        <w:rPr>
          <w:b/>
          <w:i/>
        </w:rPr>
        <w:t xml:space="preserve"> ООО ПКФ "Орвис"</w:t>
      </w:r>
      <w:r>
        <w:t xml:space="preserve"> </w:t>
      </w:r>
    </w:p>
    <w:p w14:paraId="47B18C84" w14:textId="77777777" w:rsidR="00CA5D1C" w:rsidRDefault="00D66E3F">
      <w:pPr>
        <w:spacing w:after="3" w:line="263" w:lineRule="auto"/>
        <w:ind w:left="411"/>
        <w:jc w:val="left"/>
      </w:pPr>
      <w:r>
        <w:t>ИНН:</w:t>
      </w:r>
      <w:r>
        <w:rPr>
          <w:b/>
          <w:i/>
        </w:rPr>
        <w:t xml:space="preserve"> 9204021598</w:t>
      </w:r>
      <w:r>
        <w:t xml:space="preserve"> </w:t>
      </w:r>
    </w:p>
    <w:p w14:paraId="016870C2" w14:textId="77777777" w:rsidR="00CA5D1C" w:rsidRDefault="00D66E3F">
      <w:pPr>
        <w:spacing w:after="3" w:line="263" w:lineRule="auto"/>
        <w:ind w:left="411"/>
        <w:jc w:val="left"/>
      </w:pPr>
      <w:r>
        <w:t>ОГРН:</w:t>
      </w:r>
      <w:r>
        <w:rPr>
          <w:b/>
          <w:i/>
        </w:rPr>
        <w:t xml:space="preserve"> 1149204045870</w:t>
      </w:r>
      <w:r>
        <w:t xml:space="preserve"> </w:t>
      </w:r>
    </w:p>
    <w:p w14:paraId="1EBA7CEC" w14:textId="77777777" w:rsidR="00CA5D1C" w:rsidRDefault="00D66E3F">
      <w:pPr>
        <w:ind w:left="411" w:right="63"/>
      </w:pPr>
      <w:r>
        <w:t>Доля лица в уставном капитале организации, %:</w:t>
      </w:r>
      <w:r>
        <w:rPr>
          <w:b/>
          <w:i/>
        </w:rPr>
        <w:t xml:space="preserve"> 60.8</w:t>
      </w:r>
      <w:r>
        <w:t xml:space="preserve"> </w:t>
      </w:r>
    </w:p>
    <w:p w14:paraId="73573749" w14:textId="77777777" w:rsidR="00CA5D1C" w:rsidRDefault="00D66E3F">
      <w:pPr>
        <w:spacing w:after="23" w:line="259" w:lineRule="auto"/>
        <w:ind w:left="401" w:firstLine="0"/>
        <w:jc w:val="left"/>
      </w:pPr>
      <w:r>
        <w:t xml:space="preserve"> </w:t>
      </w:r>
    </w:p>
    <w:p w14:paraId="73F0D0C8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Родственные связи с членом Наблюдательного Совета </w:t>
      </w:r>
    </w:p>
    <w:p w14:paraId="78868868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5C2BF271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1D00D236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438D3071" w14:textId="77777777" w:rsidR="00CA5D1C" w:rsidRDefault="00D66E3F">
      <w:pPr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занимало. </w:t>
      </w:r>
    </w:p>
    <w:p w14:paraId="1A883C30" w14:textId="77777777" w:rsidR="00CA5D1C" w:rsidRDefault="00D66E3F">
      <w:pPr>
        <w:spacing w:after="0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7779CECE" w14:textId="77777777" w:rsidR="00CA5D1C" w:rsidRDefault="00D66E3F">
      <w:pPr>
        <w:spacing w:after="24" w:line="259" w:lineRule="auto"/>
        <w:ind w:left="200" w:firstLine="0"/>
        <w:jc w:val="left"/>
      </w:pPr>
      <w:r>
        <w:t xml:space="preserve"> </w:t>
      </w:r>
    </w:p>
    <w:p w14:paraId="16FFBF15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Рославцева Татьяна Александровна</w:t>
      </w:r>
      <w:r>
        <w:t xml:space="preserve"> </w:t>
      </w:r>
    </w:p>
    <w:p w14:paraId="6C52410C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1979</w:t>
      </w:r>
      <w:r>
        <w:t xml:space="preserve"> </w:t>
      </w:r>
    </w:p>
    <w:p w14:paraId="2A9660F2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экономическое</w:t>
      </w:r>
      <w:r>
        <w:t xml:space="preserve"> </w:t>
      </w:r>
    </w:p>
    <w:p w14:paraId="6611F9DB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 </w:t>
      </w:r>
    </w:p>
    <w:p w14:paraId="5AAB2D82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284" w:type="dxa"/>
        <w:tblCellMar>
          <w:top w:w="17" w:type="dxa"/>
          <w:left w:w="7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332"/>
        <w:gridCol w:w="1261"/>
        <w:gridCol w:w="3982"/>
        <w:gridCol w:w="2679"/>
      </w:tblGrid>
      <w:tr w:rsidR="00CA5D1C" w14:paraId="62CF980F" w14:textId="77777777">
        <w:trPr>
          <w:trHeight w:val="305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3FDC417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Период </w:t>
            </w:r>
          </w:p>
        </w:tc>
        <w:tc>
          <w:tcPr>
            <w:tcW w:w="1261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58ADD3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6114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C6058B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Должность </w:t>
            </w:r>
          </w:p>
        </w:tc>
      </w:tr>
      <w:tr w:rsidR="00CA5D1C" w14:paraId="6F43FE7C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096D3C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8550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4B32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0C7DD3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A5D1C" w14:paraId="7D956262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E86DE8C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02.04.2012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724F" w14:textId="77777777" w:rsidR="00CA5D1C" w:rsidRDefault="00D66E3F">
            <w:pPr>
              <w:spacing w:after="0" w:line="259" w:lineRule="auto"/>
              <w:ind w:left="2" w:firstLine="0"/>
            </w:pPr>
            <w:r>
              <w:t xml:space="preserve">28.03.2022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0530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ООО «Медико-технический центр»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F3DB6A9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Заместитель директора </w:t>
            </w:r>
          </w:p>
        </w:tc>
      </w:tr>
      <w:tr w:rsidR="00CA5D1C" w14:paraId="0955BDD9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6EC4681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04.04.2022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159BB47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72424C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АО "Муссон"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C663D98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помощник генерального директора </w:t>
            </w:r>
          </w:p>
        </w:tc>
      </w:tr>
    </w:tbl>
    <w:p w14:paraId="3960E834" w14:textId="77777777" w:rsidR="00CA5D1C" w:rsidRDefault="00D66E3F">
      <w:pPr>
        <w:spacing w:after="26" w:line="259" w:lineRule="auto"/>
        <w:ind w:left="0" w:firstLine="0"/>
        <w:jc w:val="left"/>
      </w:pPr>
      <w:r>
        <w:t xml:space="preserve"> </w:t>
      </w:r>
    </w:p>
    <w:p w14:paraId="55B8D979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имеет.</w:t>
      </w:r>
      <w:r>
        <w:t xml:space="preserve"> </w:t>
      </w:r>
    </w:p>
    <w:p w14:paraId="2F7BD4D8" w14:textId="77777777" w:rsidR="00CA5D1C" w:rsidRDefault="00D66E3F">
      <w:pPr>
        <w:spacing w:after="249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опционов.</w:t>
      </w:r>
      <w:r>
        <w:t xml:space="preserve"> </w:t>
      </w:r>
    </w:p>
    <w:p w14:paraId="3CA12CCC" w14:textId="77777777" w:rsidR="00CA5D1C" w:rsidRDefault="00D66E3F">
      <w:pPr>
        <w:spacing w:after="201"/>
        <w:ind w:left="210" w:right="63"/>
      </w:pPr>
      <w:r>
        <w:t xml:space="preserve">Cведения об участии в работе комитетов наблюдательного совета: </w:t>
      </w:r>
      <w:r>
        <w:rPr>
          <w:b/>
          <w:i/>
        </w:rPr>
        <w:t xml:space="preserve">Комитеты Наблюдательного совета не сформированы.  </w:t>
      </w:r>
    </w:p>
    <w:p w14:paraId="0E406F25" w14:textId="77777777" w:rsidR="00CA5D1C" w:rsidRDefault="00D66E3F">
      <w:pPr>
        <w:ind w:left="210" w:right="63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имеет. </w:t>
      </w:r>
    </w:p>
    <w:p w14:paraId="58F49A88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нет. </w:t>
      </w:r>
    </w:p>
    <w:p w14:paraId="3AD9472C" w14:textId="77777777" w:rsidR="00CA5D1C" w:rsidRDefault="00D66E3F">
      <w:pPr>
        <w:ind w:left="200" w:right="63" w:firstLine="509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привлекалось. </w:t>
      </w: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 </w:t>
      </w:r>
    </w:p>
    <w:p w14:paraId="3C8C2ED0" w14:textId="77777777" w:rsidR="00CA5D1C" w:rsidRDefault="00D66E3F">
      <w:pPr>
        <w:spacing w:after="19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68ECB482" w14:textId="77777777" w:rsidR="00CA5D1C" w:rsidRDefault="00D66E3F">
      <w:pPr>
        <w:ind w:left="210" w:right="63"/>
      </w:pPr>
      <w:r>
        <w:t xml:space="preserve">В соответствии с решением годового общего собрания акционеров от 08.06.2023 в составе Наблюдательного совета произошли изменения.  Вместо Лазоренко Светланы Сергеевна в состав Наблюдательного совета избрана: </w:t>
      </w:r>
    </w:p>
    <w:p w14:paraId="5BD5BBFD" w14:textId="77777777" w:rsidR="00CA5D1C" w:rsidRDefault="00D66E3F">
      <w:pPr>
        <w:spacing w:after="25" w:line="259" w:lineRule="auto"/>
        <w:ind w:left="200" w:firstLine="0"/>
        <w:jc w:val="left"/>
      </w:pPr>
      <w:r>
        <w:t xml:space="preserve"> </w:t>
      </w:r>
    </w:p>
    <w:p w14:paraId="3199ADCE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Шевчук Елена Викторовна</w:t>
      </w:r>
      <w:r>
        <w:t xml:space="preserve"> </w:t>
      </w:r>
    </w:p>
    <w:p w14:paraId="6FAD89F4" w14:textId="77777777" w:rsidR="00CA5D1C" w:rsidRDefault="00D66E3F">
      <w:pPr>
        <w:ind w:left="210" w:right="63"/>
      </w:pPr>
      <w:r>
        <w:t>Год рождения:</w:t>
      </w:r>
      <w:r>
        <w:rPr>
          <w:b/>
          <w:i/>
        </w:rPr>
        <w:t xml:space="preserve"> 1971</w:t>
      </w:r>
      <w:r>
        <w:t xml:space="preserve"> </w:t>
      </w:r>
    </w:p>
    <w:p w14:paraId="6F9258D6" w14:textId="77777777" w:rsidR="00CA5D1C" w:rsidRDefault="00D66E3F">
      <w:pPr>
        <w:spacing w:after="3" w:line="263" w:lineRule="auto"/>
        <w:ind w:left="195"/>
        <w:jc w:val="left"/>
      </w:pPr>
      <w:r>
        <w:t xml:space="preserve">Образование: </w:t>
      </w:r>
      <w:r>
        <w:rPr>
          <w:b/>
          <w:i/>
        </w:rPr>
        <w:t>Высшее юридическое, высшее филологическое</w:t>
      </w:r>
      <w:r>
        <w:t xml:space="preserve"> </w:t>
      </w:r>
    </w:p>
    <w:p w14:paraId="5C670C0B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7845D709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31FB4842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2A577AB1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0AAD0B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698C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E6DEBA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5C13A31F" w14:textId="77777777">
        <w:trPr>
          <w:trHeight w:val="291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0FD8C8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2B1A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51FF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B6C7D68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4AF4F2D7" w14:textId="77777777">
        <w:trPr>
          <w:trHeight w:val="842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65B9C5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2019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AEC7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07.02.23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FE01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Законодательное Собрание города Севастополя 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7A53FE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главный </w:t>
            </w:r>
            <w:r>
              <w:tab/>
              <w:t xml:space="preserve">специалист юридического управления </w:t>
            </w:r>
          </w:p>
        </w:tc>
      </w:tr>
      <w:tr w:rsidR="00CA5D1C" w14:paraId="5EFB05AD" w14:textId="77777777">
        <w:trPr>
          <w:trHeight w:val="1135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2150B75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10.02.23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6549D0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4CDA741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096114C" w14:textId="77777777" w:rsidR="00CA5D1C" w:rsidRDefault="00D66E3F">
            <w:pPr>
              <w:spacing w:after="43" w:line="238" w:lineRule="auto"/>
              <w:ind w:left="2" w:right="61" w:firstLine="0"/>
            </w:pPr>
            <w:r>
              <w:t xml:space="preserve"> </w:t>
            </w:r>
            <w:r>
              <w:t xml:space="preserve">юрисконсульт 1 категории управления экономики и ценных </w:t>
            </w:r>
          </w:p>
          <w:p w14:paraId="782282A6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бумаг </w:t>
            </w:r>
          </w:p>
        </w:tc>
      </w:tr>
    </w:tbl>
    <w:p w14:paraId="5F15A2ED" w14:textId="77777777" w:rsidR="00CA5D1C" w:rsidRDefault="00D66E3F">
      <w:pPr>
        <w:spacing w:after="4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C183936" w14:textId="77777777" w:rsidR="00CA5D1C" w:rsidRDefault="00D66E3F">
      <w:pPr>
        <w:spacing w:after="3" w:line="263" w:lineRule="auto"/>
        <w:ind w:left="195"/>
        <w:jc w:val="left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2857A1AA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4E1B074" w14:textId="77777777" w:rsidR="00CA5D1C" w:rsidRDefault="00D66E3F">
      <w:pPr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213B26BD" w14:textId="77777777" w:rsidR="00CA5D1C" w:rsidRDefault="00D66E3F">
      <w:pPr>
        <w:spacing w:after="0" w:line="280" w:lineRule="auto"/>
        <w:ind w:left="200" w:right="72" w:firstLine="0"/>
      </w:pPr>
      <w:r>
        <w:rPr>
          <w:sz w:val="22"/>
        </w:rPr>
        <w:t xml:space="preserve">Cведения об участии в работе комитетов совета директоров: </w:t>
      </w:r>
      <w:r>
        <w:rPr>
          <w:b/>
          <w:i/>
          <w:sz w:val="22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  <w:r>
        <w:rPr>
          <w:sz w:val="22"/>
        </w:rPr>
        <w:t xml:space="preserve"> </w:t>
      </w:r>
    </w:p>
    <w:p w14:paraId="7549D6E8" w14:textId="77777777" w:rsidR="00CA5D1C" w:rsidRDefault="00D66E3F">
      <w:pPr>
        <w:spacing w:after="0" w:line="280" w:lineRule="auto"/>
        <w:ind w:left="200" w:firstLine="0"/>
        <w:jc w:val="left"/>
      </w:pPr>
      <w:r>
        <w:rPr>
          <w:sz w:val="22"/>
        </w:rP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2"/>
        </w:rPr>
        <w:t xml:space="preserve">Лицо указанных долей не имеет </w:t>
      </w:r>
    </w:p>
    <w:p w14:paraId="2CC66F9A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53B44162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453D2FA8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575A1ED0" w14:textId="77777777" w:rsidR="00CA5D1C" w:rsidRDefault="00D66E3F">
      <w:pPr>
        <w:spacing w:after="0" w:line="259" w:lineRule="auto"/>
        <w:ind w:left="0" w:firstLine="0"/>
        <w:jc w:val="left"/>
      </w:pPr>
      <w:r>
        <w:t xml:space="preserve"> </w:t>
      </w:r>
    </w:p>
    <w:p w14:paraId="375D0926" w14:textId="77777777" w:rsidR="00CA5D1C" w:rsidRDefault="00D66E3F">
      <w:pPr>
        <w:spacing w:after="0" w:line="259" w:lineRule="auto"/>
        <w:ind w:left="708" w:firstLine="0"/>
        <w:jc w:val="left"/>
      </w:pPr>
      <w:r>
        <w:t xml:space="preserve"> </w:t>
      </w:r>
    </w:p>
    <w:p w14:paraId="0734CCC0" w14:textId="77777777" w:rsidR="00CA5D1C" w:rsidRDefault="00D66E3F">
      <w:pPr>
        <w:spacing w:after="11"/>
        <w:ind w:left="200" w:firstLine="509"/>
        <w:jc w:val="left"/>
      </w:pPr>
      <w:r>
        <w:rPr>
          <w:b/>
        </w:rPr>
        <w:t xml:space="preserve">Таким образом состав Наблюдательного совета, утвержденный решением годового общего собрания акционеров 8 июня 2023 года, следующий: </w:t>
      </w:r>
    </w:p>
    <w:p w14:paraId="0F9FA257" w14:textId="77777777" w:rsidR="00CA5D1C" w:rsidRDefault="00D66E3F">
      <w:pPr>
        <w:spacing w:after="11"/>
        <w:ind w:left="519"/>
        <w:jc w:val="left"/>
      </w:pPr>
      <w:r>
        <w:rPr>
          <w:b/>
        </w:rPr>
        <w:t>Кожеватов Игорь Олегович</w:t>
      </w:r>
      <w:r>
        <w:rPr>
          <w:i/>
        </w:rPr>
        <w:t xml:space="preserve"> </w:t>
      </w:r>
      <w:r>
        <w:rPr>
          <w:b/>
        </w:rPr>
        <w:t>(председатель)</w:t>
      </w:r>
      <w:r>
        <w:rPr>
          <w:i/>
        </w:rPr>
        <w:t xml:space="preserve"> </w:t>
      </w:r>
    </w:p>
    <w:p w14:paraId="7A23AD1B" w14:textId="77777777" w:rsidR="00CA5D1C" w:rsidRDefault="00D66E3F">
      <w:pPr>
        <w:spacing w:after="11"/>
        <w:ind w:left="519"/>
        <w:jc w:val="left"/>
      </w:pPr>
      <w:r>
        <w:rPr>
          <w:b/>
        </w:rPr>
        <w:t xml:space="preserve">Плотка Владимир Григорьевич </w:t>
      </w:r>
    </w:p>
    <w:p w14:paraId="45B4EC47" w14:textId="77777777" w:rsidR="00CA5D1C" w:rsidRDefault="00D66E3F">
      <w:pPr>
        <w:spacing w:after="11"/>
        <w:ind w:left="519" w:right="4432"/>
        <w:jc w:val="left"/>
      </w:pPr>
      <w:r>
        <w:rPr>
          <w:b/>
        </w:rPr>
        <w:t xml:space="preserve">Козырь (Плотка) Мария Владимировна Цымбал Сергей Владимирович </w:t>
      </w:r>
    </w:p>
    <w:p w14:paraId="48D94938" w14:textId="77777777" w:rsidR="00CA5D1C" w:rsidRDefault="00D66E3F">
      <w:pPr>
        <w:spacing w:after="11"/>
        <w:jc w:val="left"/>
      </w:pPr>
      <w:r>
        <w:rPr>
          <w:b/>
        </w:rPr>
        <w:t xml:space="preserve">        Лапочкин Андрей Альбертович </w:t>
      </w:r>
    </w:p>
    <w:p w14:paraId="52DAB29F" w14:textId="77777777" w:rsidR="00CA5D1C" w:rsidRDefault="00D66E3F">
      <w:pPr>
        <w:spacing w:after="11"/>
        <w:jc w:val="left"/>
      </w:pPr>
      <w:r>
        <w:rPr>
          <w:b/>
        </w:rPr>
        <w:t xml:space="preserve">        Рославцева Татьяна Александровна </w:t>
      </w:r>
    </w:p>
    <w:p w14:paraId="2B037054" w14:textId="77777777" w:rsidR="00CA5D1C" w:rsidRDefault="00D66E3F">
      <w:pPr>
        <w:spacing w:after="11"/>
        <w:jc w:val="left"/>
      </w:pPr>
      <w:r>
        <w:rPr>
          <w:b/>
        </w:rPr>
        <w:t xml:space="preserve">        </w:t>
      </w:r>
      <w:r>
        <w:rPr>
          <w:b/>
        </w:rPr>
        <w:t xml:space="preserve">Шевчук Елена Викторовна </w:t>
      </w:r>
    </w:p>
    <w:p w14:paraId="3DF915F1" w14:textId="77777777" w:rsidR="00CA5D1C" w:rsidRDefault="00D66E3F">
      <w:pPr>
        <w:spacing w:after="0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17CB86B6" w14:textId="77777777" w:rsidR="00CA5D1C" w:rsidRDefault="00D66E3F">
      <w:pPr>
        <w:ind w:left="-15" w:right="63" w:firstLine="425"/>
      </w:pPr>
      <w:r>
        <w:t xml:space="preserve">Федеральным законом «Об акционерных обществах» Наблюдательному Совету отводится наиболее важная роль в обеспечении прав акционеров, в формировании и реализации стратегии Общества, а также в обеспечении его успешной финансово-хозяйственной деятельности. Вся деятельность Наблюдательного Совета является прозрачной для акционеров, поскольку все решения Наблюдательного Совета публикуются Обществом на странице в сети Интернет, используемой Обществом для раскрытия информации: </w:t>
      </w:r>
      <w:r>
        <w:rPr>
          <w:b/>
        </w:rPr>
        <w:t xml:space="preserve">pat.musson.su, </w:t>
      </w:r>
      <w:r>
        <w:rPr>
          <w:b/>
          <w:shd w:val="clear" w:color="auto" w:fill="FAFAFA"/>
        </w:rPr>
        <w:t xml:space="preserve">http://www.edisclosure.ru/portal/company.aspx?id=35135 </w:t>
      </w:r>
      <w:r>
        <w:t xml:space="preserve">и доступны любому акционеру Общества. </w:t>
      </w:r>
    </w:p>
    <w:p w14:paraId="75FBA485" w14:textId="77777777" w:rsidR="00CA5D1C" w:rsidRDefault="00D66E3F">
      <w:pPr>
        <w:ind w:left="-15" w:right="63" w:firstLine="425"/>
      </w:pPr>
      <w:r>
        <w:t xml:space="preserve">Наблюдательный совет осуществляет свою деятельность в соответствии с Уставом Общества, непосредственно контролирует финансовую и хозяйственную деятельность Общества. </w:t>
      </w:r>
    </w:p>
    <w:p w14:paraId="51E36931" w14:textId="77777777" w:rsidR="00CA5D1C" w:rsidRDefault="00D66E3F">
      <w:pPr>
        <w:ind w:left="-15" w:right="63" w:firstLine="425"/>
      </w:pPr>
      <w:r>
        <w:t xml:space="preserve">В соответствии с Уставом Общества Наблюдательный совет состоит из семи человек, состав которого ежегодно избирается Общим собранием акционеров. Комитеты в составе </w:t>
      </w:r>
    </w:p>
    <w:p w14:paraId="1C4765C7" w14:textId="77777777" w:rsidR="00CA5D1C" w:rsidRDefault="00D66E3F">
      <w:pPr>
        <w:ind w:left="-5" w:right="63"/>
      </w:pPr>
      <w:r>
        <w:t xml:space="preserve">Наблюдательного совета в 2023 году не избирались. </w:t>
      </w:r>
    </w:p>
    <w:p w14:paraId="7A18491F" w14:textId="77777777" w:rsidR="00CA5D1C" w:rsidRDefault="00D66E3F">
      <w:pPr>
        <w:spacing w:after="21" w:line="259" w:lineRule="auto"/>
        <w:ind w:left="425" w:firstLine="0"/>
        <w:jc w:val="left"/>
      </w:pPr>
      <w:r>
        <w:t xml:space="preserve"> </w:t>
      </w:r>
    </w:p>
    <w:p w14:paraId="10BA358E" w14:textId="77777777" w:rsidR="00CA5D1C" w:rsidRDefault="00D66E3F">
      <w:pPr>
        <w:ind w:left="438" w:right="63"/>
      </w:pPr>
      <w:r>
        <w:t xml:space="preserve">В 2023 году было проведено одно Годовое общее собрание акционеров.  </w:t>
      </w:r>
    </w:p>
    <w:p w14:paraId="52A555D6" w14:textId="77777777" w:rsidR="00CA5D1C" w:rsidRDefault="00D66E3F">
      <w:pPr>
        <w:ind w:left="438" w:right="63"/>
      </w:pPr>
      <w:r>
        <w:t xml:space="preserve">Повестка дня Годового Общего собрания акционеров включала в себя следующие вопросы: </w:t>
      </w:r>
    </w:p>
    <w:p w14:paraId="2BDAD6FF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Утверждение годового отчета АО «Муссон» за 2022 год. </w:t>
      </w:r>
    </w:p>
    <w:p w14:paraId="0576CFD4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Утверждение годовой бухгалтерской (финансовой) отчетности АО «Муссон» за 2022 год. </w:t>
      </w:r>
    </w:p>
    <w:p w14:paraId="3A0FADAA" w14:textId="77777777" w:rsidR="00CA5D1C" w:rsidRDefault="00D66E3F">
      <w:pPr>
        <w:ind w:left="-5" w:right="63"/>
      </w:pPr>
      <w:r>
        <w:t xml:space="preserve">Утверждение отчета о прибылях и убытках за 2022 год. </w:t>
      </w:r>
    </w:p>
    <w:p w14:paraId="06862EB3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Распределение прибыли (в том числе выплата (объявление дивидендов) и убытков  АО «Муссон» по результатам 2022 отчетного года. </w:t>
      </w:r>
    </w:p>
    <w:p w14:paraId="64BA37A1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Избрание членов Наблюдательного совета АО «Муссон». </w:t>
      </w:r>
    </w:p>
    <w:p w14:paraId="56F51AF1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Избрание членов ревизионной комиссии АО «Муссон». </w:t>
      </w:r>
    </w:p>
    <w:p w14:paraId="14176845" w14:textId="77777777" w:rsidR="00CA5D1C" w:rsidRDefault="00D66E3F">
      <w:pPr>
        <w:numPr>
          <w:ilvl w:val="0"/>
          <w:numId w:val="21"/>
        </w:numPr>
        <w:ind w:right="63" w:hanging="314"/>
      </w:pPr>
      <w:r>
        <w:t xml:space="preserve">Назначение аудиторской организации АО «Муссон». </w:t>
      </w:r>
    </w:p>
    <w:p w14:paraId="6107D4F0" w14:textId="77777777" w:rsidR="00CA5D1C" w:rsidRDefault="00D66E3F">
      <w:pPr>
        <w:numPr>
          <w:ilvl w:val="0"/>
          <w:numId w:val="21"/>
        </w:numPr>
        <w:spacing w:after="164"/>
        <w:ind w:right="63" w:hanging="314"/>
      </w:pPr>
      <w:r>
        <w:t xml:space="preserve">Утверждение Устава АО «Муссон» в новой редакции.   </w:t>
      </w:r>
    </w:p>
    <w:p w14:paraId="0480EC09" w14:textId="77777777" w:rsidR="00CA5D1C" w:rsidRDefault="00D66E3F">
      <w:pPr>
        <w:spacing w:after="15" w:line="259" w:lineRule="auto"/>
        <w:ind w:left="428" w:firstLine="0"/>
        <w:jc w:val="left"/>
      </w:pPr>
      <w:r>
        <w:t xml:space="preserve"> </w:t>
      </w:r>
    </w:p>
    <w:p w14:paraId="60EBB783" w14:textId="77777777" w:rsidR="00CA5D1C" w:rsidRDefault="00D66E3F">
      <w:pPr>
        <w:ind w:left="-5" w:right="63"/>
      </w:pPr>
      <w:r>
        <w:t xml:space="preserve">        В 2023 году было проведено 3 очных заседания Наблюдательного совета. </w:t>
      </w:r>
    </w:p>
    <w:p w14:paraId="4DEBF6CE" w14:textId="77777777" w:rsidR="00CA5D1C" w:rsidRDefault="00D66E3F">
      <w:pPr>
        <w:ind w:left="435" w:right="63"/>
      </w:pPr>
      <w:r>
        <w:t xml:space="preserve">На заседаниях были рассмотрены следующие основные вопросы: </w:t>
      </w:r>
    </w:p>
    <w:p w14:paraId="70680AFC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 предварительном утверждении годовой бухгалтерской отчетности и отчета о прибылях и убытках Общества, распределении прибыли по результатам года; </w:t>
      </w:r>
    </w:p>
    <w:p w14:paraId="627A50B1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 рассмотрении кандидатур в Наблюдательный Совет и Ревизионную комиссию; </w:t>
      </w:r>
    </w:p>
    <w:p w14:paraId="09768CEA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об утверждении даты, времени, места и формы проведения годового общего собрания акционеров, повестки дня, а также даты, на которую определяются (фиксируются) лица, имеющие право на участие в годовом общем собрании акционеров Общества; </w:t>
      </w:r>
    </w:p>
    <w:p w14:paraId="2408B517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 принятии проекта годового отчета Общества; </w:t>
      </w:r>
    </w:p>
    <w:p w14:paraId="7D180327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 технических вопросах проведения собрания, уведомления акционеров, утверждения формы и текста бюллетеней, перечня материалов, предоставляемых акционерам; </w:t>
      </w:r>
    </w:p>
    <w:p w14:paraId="1D3DDA2B" w14:textId="77777777" w:rsidR="00CA5D1C" w:rsidRDefault="00D66E3F">
      <w:pPr>
        <w:numPr>
          <w:ilvl w:val="1"/>
          <w:numId w:val="21"/>
        </w:numPr>
        <w:ind w:right="63" w:firstLine="425"/>
      </w:pPr>
      <w:r>
        <w:t xml:space="preserve">об избрании председателя и секретаря Наблюдательного совета. </w:t>
      </w:r>
    </w:p>
    <w:p w14:paraId="68E765C8" w14:textId="77777777" w:rsidR="00CA5D1C" w:rsidRDefault="00D66E3F">
      <w:pPr>
        <w:spacing w:after="0" w:line="259" w:lineRule="auto"/>
        <w:ind w:left="425" w:firstLine="0"/>
        <w:jc w:val="left"/>
      </w:pPr>
      <w:r>
        <w:t xml:space="preserve"> </w:t>
      </w:r>
    </w:p>
    <w:p w14:paraId="10389269" w14:textId="77777777" w:rsidR="00CA5D1C" w:rsidRDefault="00D66E3F">
      <w:pPr>
        <w:ind w:left="-15" w:right="63" w:firstLine="425"/>
      </w:pPr>
      <w:r>
        <w:t xml:space="preserve">Деятельность Наблюдательного Совета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 </w:t>
      </w:r>
    </w:p>
    <w:p w14:paraId="65557712" w14:textId="77777777" w:rsidR="00CA5D1C" w:rsidRDefault="00D66E3F">
      <w:pPr>
        <w:spacing w:after="161" w:line="259" w:lineRule="auto"/>
        <w:ind w:left="417" w:firstLine="0"/>
        <w:jc w:val="center"/>
      </w:pPr>
      <w:r>
        <w:rPr>
          <w:b/>
        </w:rPr>
        <w:t xml:space="preserve"> </w:t>
      </w:r>
    </w:p>
    <w:p w14:paraId="1AC5DED5" w14:textId="77777777" w:rsidR="00CA5D1C" w:rsidRDefault="00D66E3F">
      <w:pPr>
        <w:spacing w:after="101" w:line="271" w:lineRule="auto"/>
        <w:ind w:left="367" w:right="7"/>
        <w:jc w:val="center"/>
      </w:pPr>
      <w:r>
        <w:rPr>
          <w:b/>
        </w:rPr>
        <w:t xml:space="preserve">13. Генеральный директор Общества </w:t>
      </w:r>
    </w:p>
    <w:p w14:paraId="34025D6F" w14:textId="77777777" w:rsidR="00CA5D1C" w:rsidRDefault="00D66E3F">
      <w:pPr>
        <w:ind w:left="-15" w:right="63" w:firstLine="425"/>
      </w:pPr>
      <w:r>
        <w:t xml:space="preserve">В соответствии с Уставом Общества полномочия единоличного исполнительного органа осуществляет генеральный директор, избранный на годовом общем собрании акционеров 7 июня 2019 года. Срок полномочий генерального директора, согласно Уставу Общества, составляет пять лет. Коллегиальный исполнительный орган (правление) не предусмотрен Уставом. </w:t>
      </w:r>
    </w:p>
    <w:p w14:paraId="59C72CCF" w14:textId="77777777" w:rsidR="00CA5D1C" w:rsidRDefault="00D66E3F">
      <w:pPr>
        <w:spacing w:after="3" w:line="263" w:lineRule="auto"/>
        <w:ind w:left="195"/>
        <w:jc w:val="left"/>
      </w:pPr>
      <w:r>
        <w:t>ФИО:</w:t>
      </w:r>
      <w:r>
        <w:rPr>
          <w:b/>
          <w:i/>
        </w:rPr>
        <w:t xml:space="preserve"> Плотка Владимир Григорьевич</w:t>
      </w:r>
      <w:r>
        <w:t xml:space="preserve"> </w:t>
      </w:r>
    </w:p>
    <w:p w14:paraId="490EF7F6" w14:textId="77777777" w:rsidR="00CA5D1C" w:rsidRDefault="00D66E3F">
      <w:pPr>
        <w:ind w:left="210" w:right="6582"/>
      </w:pPr>
      <w:r>
        <w:t>Год рождения:</w:t>
      </w:r>
      <w:r>
        <w:rPr>
          <w:b/>
          <w:i/>
        </w:rPr>
        <w:t xml:space="preserve"> 1964</w:t>
      </w:r>
      <w:r>
        <w:t xml:space="preserve"> Образование: </w:t>
      </w:r>
      <w:r>
        <w:rPr>
          <w:b/>
          <w:i/>
        </w:rPr>
        <w:t>Высшее</w:t>
      </w:r>
      <w:r>
        <w:t xml:space="preserve"> </w:t>
      </w:r>
    </w:p>
    <w:p w14:paraId="5E4B6E62" w14:textId="77777777" w:rsidR="00CA5D1C" w:rsidRDefault="00D66E3F">
      <w:pPr>
        <w:ind w:left="210" w:right="63"/>
      </w:pPr>
      <w:r>
        <w:t xml:space="preserve">Все должности, занимаемые данным лицом в эмитенте и других организациях за последние 5 лет и в настоящее время, в том числе по совместительству, в хронологическом порядке: </w:t>
      </w:r>
    </w:p>
    <w:p w14:paraId="0ED69386" w14:textId="77777777" w:rsidR="00CA5D1C" w:rsidRDefault="00D66E3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CA5D1C" w14:paraId="3A62F79F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8E64110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5AE44C" w14:textId="77777777" w:rsidR="00CA5D1C" w:rsidRDefault="00CA5D1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F725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A47D8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CA5D1C" w14:paraId="5547BC08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C2538D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F1F6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2484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DBA4A3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A5D1C" w14:paraId="71E3D5B3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056F4D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A222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BEEF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C47C5D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CA5D1C" w14:paraId="32CB63B9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C8A23AC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49D6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741A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FAEFB9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CA5D1C" w14:paraId="11528622" w14:textId="77777777">
        <w:trPr>
          <w:trHeight w:val="584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FBD900A" w14:textId="77777777" w:rsidR="00CA5D1C" w:rsidRDefault="00D66E3F">
            <w:pPr>
              <w:spacing w:after="0" w:line="259" w:lineRule="auto"/>
              <w:ind w:left="0" w:firstLine="0"/>
              <w:jc w:val="left"/>
            </w:pPr>
            <w:r>
              <w:t xml:space="preserve">04.10.16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4BB5AF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185E38E" w14:textId="77777777" w:rsidR="00CA5D1C" w:rsidRDefault="00D66E3F">
            <w:pPr>
              <w:spacing w:after="0" w:line="259" w:lineRule="auto"/>
              <w:ind w:left="3" w:firstLine="0"/>
              <w:jc w:val="left"/>
            </w:pPr>
            <w:r>
              <w:t xml:space="preserve">ООО "ВСБО "Яхт-клуб "Юг"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8775E0F" w14:textId="77777777" w:rsidR="00CA5D1C" w:rsidRDefault="00D66E3F">
            <w:pPr>
              <w:tabs>
                <w:tab w:val="right" w:pos="2599"/>
              </w:tabs>
              <w:spacing w:after="28" w:line="259" w:lineRule="auto"/>
              <w:ind w:left="0" w:firstLine="0"/>
              <w:jc w:val="left"/>
            </w:pPr>
            <w:r>
              <w:t xml:space="preserve">директор </w:t>
            </w:r>
            <w:r>
              <w:tab/>
              <w:t xml:space="preserve">(по </w:t>
            </w:r>
          </w:p>
          <w:p w14:paraId="66602403" w14:textId="77777777" w:rsidR="00CA5D1C" w:rsidRDefault="00D66E3F">
            <w:pPr>
              <w:spacing w:after="0" w:line="259" w:lineRule="auto"/>
              <w:ind w:left="2" w:firstLine="0"/>
              <w:jc w:val="left"/>
            </w:pPr>
            <w:r>
              <w:t xml:space="preserve">совместительству) </w:t>
            </w:r>
          </w:p>
        </w:tc>
      </w:tr>
    </w:tbl>
    <w:p w14:paraId="25F08BE3" w14:textId="77777777" w:rsidR="00CA5D1C" w:rsidRDefault="00D66E3F">
      <w:pPr>
        <w:spacing w:after="96" w:line="259" w:lineRule="auto"/>
        <w:ind w:left="0" w:firstLine="0"/>
        <w:jc w:val="left"/>
      </w:pPr>
      <w:r>
        <w:rPr>
          <w:color w:val="FF0000"/>
          <w:sz w:val="16"/>
        </w:rPr>
        <w:t xml:space="preserve"> </w:t>
      </w:r>
    </w:p>
    <w:p w14:paraId="18334C86" w14:textId="77777777" w:rsidR="00CA5D1C" w:rsidRDefault="00D66E3F">
      <w:pPr>
        <w:ind w:left="210" w:right="2802"/>
      </w:pPr>
      <w:r>
        <w:t>Доля участия лица в уставном капитале эмитента, %:</w:t>
      </w:r>
      <w:r>
        <w:rPr>
          <w:b/>
          <w:i/>
        </w:rPr>
        <w:t xml:space="preserve"> 58.7392</w:t>
      </w:r>
      <w:r>
        <w:t xml:space="preserve"> Доля принадлежащих лицу обыкновенных акций эмитента, %:</w:t>
      </w:r>
      <w:r>
        <w:rPr>
          <w:b/>
          <w:i/>
        </w:rPr>
        <w:t xml:space="preserve"> 58.7392</w:t>
      </w:r>
      <w:r>
        <w:t xml:space="preserve"> </w:t>
      </w:r>
    </w:p>
    <w:p w14:paraId="030B67FB" w14:textId="77777777" w:rsidR="00CA5D1C" w:rsidRDefault="00D66E3F">
      <w:pPr>
        <w:spacing w:after="5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7A0BD9B" w14:textId="77777777" w:rsidR="00CA5D1C" w:rsidRDefault="00D66E3F">
      <w:pPr>
        <w:spacing w:after="201"/>
        <w:ind w:left="210" w:right="63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1C96D0B5" w14:textId="77777777" w:rsidR="00CA5D1C" w:rsidRDefault="00D66E3F">
      <w:pPr>
        <w:ind w:left="210" w:right="63"/>
      </w:pPr>
      <w:r>
        <w:t>Доли участия лица в уставном (складочном) капитале (паевом фонде) дочерних и зависимых обществ эмитента: Полное фирменное наименование:</w:t>
      </w:r>
      <w:r>
        <w:rPr>
          <w:b/>
          <w:i/>
        </w:rPr>
        <w:t xml:space="preserve"> ООО ПКФ "Орвис"</w:t>
      </w:r>
      <w:r>
        <w:t xml:space="preserve"> </w:t>
      </w:r>
    </w:p>
    <w:p w14:paraId="60D181B9" w14:textId="77777777" w:rsidR="00CA5D1C" w:rsidRDefault="00D66E3F">
      <w:pPr>
        <w:spacing w:after="3" w:line="263" w:lineRule="auto"/>
        <w:ind w:left="411"/>
        <w:jc w:val="left"/>
      </w:pPr>
      <w:r>
        <w:t>ИНН:</w:t>
      </w:r>
      <w:r>
        <w:rPr>
          <w:b/>
          <w:i/>
        </w:rPr>
        <w:t xml:space="preserve"> 9204021598</w:t>
      </w:r>
      <w:r>
        <w:t xml:space="preserve"> </w:t>
      </w:r>
    </w:p>
    <w:p w14:paraId="606A8B78" w14:textId="77777777" w:rsidR="00CA5D1C" w:rsidRDefault="00D66E3F">
      <w:pPr>
        <w:spacing w:after="3" w:line="263" w:lineRule="auto"/>
        <w:ind w:left="411"/>
        <w:jc w:val="left"/>
      </w:pPr>
      <w:r>
        <w:t>ОГРН:</w:t>
      </w:r>
      <w:r>
        <w:rPr>
          <w:b/>
          <w:i/>
        </w:rPr>
        <w:t xml:space="preserve"> 1149204045870</w:t>
      </w:r>
      <w:r>
        <w:t xml:space="preserve"> </w:t>
      </w:r>
    </w:p>
    <w:p w14:paraId="72755EB2" w14:textId="77777777" w:rsidR="00CA5D1C" w:rsidRDefault="00D66E3F">
      <w:pPr>
        <w:ind w:left="411" w:right="63"/>
      </w:pPr>
      <w:r>
        <w:t>Доля лица в уставном капитале организации, %:</w:t>
      </w:r>
      <w:r>
        <w:rPr>
          <w:b/>
          <w:i/>
        </w:rPr>
        <w:t xml:space="preserve"> 60.8</w:t>
      </w:r>
      <w:r>
        <w:t xml:space="preserve"> </w:t>
      </w:r>
    </w:p>
    <w:p w14:paraId="1BBEC648" w14:textId="77777777" w:rsidR="00CA5D1C" w:rsidRDefault="00D66E3F">
      <w:pPr>
        <w:spacing w:after="23" w:line="259" w:lineRule="auto"/>
        <w:ind w:left="401" w:firstLine="0"/>
        <w:jc w:val="left"/>
      </w:pPr>
      <w:r>
        <w:t xml:space="preserve"> </w:t>
      </w:r>
    </w:p>
    <w:p w14:paraId="00C97620" w14:textId="77777777" w:rsidR="00CA5D1C" w:rsidRDefault="00D66E3F">
      <w:pPr>
        <w:ind w:left="210" w:right="63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Родственные связи с членом Наблюдательного Совета </w:t>
      </w:r>
    </w:p>
    <w:p w14:paraId="4BC5656B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ED091C3" w14:textId="77777777" w:rsidR="00CA5D1C" w:rsidRDefault="00D66E3F">
      <w:pPr>
        <w:ind w:left="210" w:right="63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5274CD9D" w14:textId="77777777" w:rsidR="00CA5D1C" w:rsidRDefault="00D66E3F">
      <w:pPr>
        <w:spacing w:after="0" w:line="259" w:lineRule="auto"/>
        <w:ind w:left="200" w:firstLine="0"/>
        <w:jc w:val="left"/>
      </w:pPr>
      <w:r>
        <w:t xml:space="preserve"> </w:t>
      </w:r>
    </w:p>
    <w:p w14:paraId="6600EFE7" w14:textId="77777777" w:rsidR="00CA5D1C" w:rsidRDefault="00D66E3F">
      <w:pPr>
        <w:spacing w:after="132"/>
        <w:ind w:left="210" w:right="63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  <w:r>
        <w:rPr>
          <w:color w:val="FF0000"/>
        </w:rPr>
        <w:t xml:space="preserve"> </w:t>
      </w:r>
    </w:p>
    <w:p w14:paraId="4D005206" w14:textId="77777777" w:rsidR="00CA5D1C" w:rsidRDefault="00D66E3F">
      <w:pPr>
        <w:numPr>
          <w:ilvl w:val="0"/>
          <w:numId w:val="22"/>
        </w:numPr>
        <w:spacing w:after="11"/>
        <w:ind w:hanging="360"/>
        <w:jc w:val="left"/>
      </w:pPr>
      <w:r>
        <w:rPr>
          <w:b/>
        </w:rPr>
        <w:t xml:space="preserve">Критерии определения и размер вознаграждения (компенсации расходов) </w:t>
      </w:r>
    </w:p>
    <w:p w14:paraId="2057999B" w14:textId="77777777" w:rsidR="00CA5D1C" w:rsidRDefault="00D66E3F">
      <w:pPr>
        <w:spacing w:after="14" w:line="271" w:lineRule="auto"/>
        <w:jc w:val="center"/>
      </w:pPr>
      <w:r>
        <w:rPr>
          <w:b/>
        </w:rPr>
        <w:t xml:space="preserve">Генерального директора, каждого члена Наблюдательного совета Общества/ общий размер вознаграждения (компенсации расходов) всех этих лиц, выплаченного или выплачиваемого </w:t>
      </w:r>
    </w:p>
    <w:p w14:paraId="5BAC9896" w14:textId="77777777" w:rsidR="00CA5D1C" w:rsidRDefault="00D66E3F">
      <w:pPr>
        <w:spacing w:after="14" w:line="271" w:lineRule="auto"/>
        <w:ind w:left="367" w:right="428"/>
        <w:jc w:val="center"/>
      </w:pPr>
      <w:r>
        <w:rPr>
          <w:b/>
        </w:rPr>
        <w:t xml:space="preserve">по результатам отчетного года </w:t>
      </w:r>
    </w:p>
    <w:p w14:paraId="0766A510" w14:textId="77777777" w:rsidR="00CA5D1C" w:rsidRDefault="00D66E3F">
      <w:pPr>
        <w:spacing w:after="22" w:line="259" w:lineRule="auto"/>
        <w:ind w:left="413" w:firstLine="0"/>
        <w:jc w:val="center"/>
      </w:pPr>
      <w:r>
        <w:rPr>
          <w:b/>
        </w:rPr>
        <w:t xml:space="preserve"> </w:t>
      </w:r>
    </w:p>
    <w:p w14:paraId="07D6FFE1" w14:textId="77777777" w:rsidR="00CA5D1C" w:rsidRDefault="00D66E3F">
      <w:pPr>
        <w:ind w:left="435" w:right="63"/>
      </w:pPr>
      <w:r>
        <w:t xml:space="preserve">Члены Наблюдательного совета и Ревизионной комиссии работали на безоплатной основе. </w:t>
      </w:r>
    </w:p>
    <w:p w14:paraId="5E22FC88" w14:textId="77777777" w:rsidR="00CA5D1C" w:rsidRDefault="00D66E3F">
      <w:pPr>
        <w:ind w:left="-15" w:right="63" w:firstLine="425"/>
      </w:pPr>
      <w:r>
        <w:t xml:space="preserve">Вознаграждение (компенсации расходов) за работу в Наблюдательном совете членам Наблюдательного совета не выплачивалось. </w:t>
      </w:r>
    </w:p>
    <w:p w14:paraId="7F3EC42B" w14:textId="77777777" w:rsidR="00CA5D1C" w:rsidRDefault="00D66E3F">
      <w:pPr>
        <w:spacing w:after="113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25F8B2DD" w14:textId="77777777" w:rsidR="00CA5D1C" w:rsidRDefault="00D66E3F">
      <w:pPr>
        <w:spacing w:after="24" w:line="259" w:lineRule="auto"/>
        <w:ind w:left="413" w:firstLine="0"/>
        <w:jc w:val="center"/>
      </w:pPr>
      <w:r>
        <w:rPr>
          <w:b/>
        </w:rPr>
        <w:t xml:space="preserve"> </w:t>
      </w:r>
    </w:p>
    <w:p w14:paraId="50F28AE5" w14:textId="77777777" w:rsidR="00CA5D1C" w:rsidRDefault="00D66E3F">
      <w:pPr>
        <w:numPr>
          <w:ilvl w:val="0"/>
          <w:numId w:val="22"/>
        </w:numPr>
        <w:spacing w:after="14" w:line="271" w:lineRule="auto"/>
        <w:ind w:hanging="360"/>
        <w:jc w:val="left"/>
      </w:pPr>
      <w:r>
        <w:rPr>
          <w:b/>
        </w:rPr>
        <w:t xml:space="preserve">Сведения о соблюдении Обществом принципа и рекомендаций Кодекса  корпоративного управления, рекомендованного к применению Банком России. </w:t>
      </w:r>
    </w:p>
    <w:p w14:paraId="03C75F64" w14:textId="77777777" w:rsidR="00CA5D1C" w:rsidRDefault="00D66E3F">
      <w:pPr>
        <w:spacing w:after="162" w:line="259" w:lineRule="auto"/>
        <w:ind w:left="417" w:firstLine="0"/>
        <w:jc w:val="center"/>
      </w:pPr>
      <w:r>
        <w:rPr>
          <w:b/>
        </w:rPr>
        <w:t xml:space="preserve"> </w:t>
      </w:r>
    </w:p>
    <w:p w14:paraId="12A33DE5" w14:textId="77777777" w:rsidR="00CA5D1C" w:rsidRDefault="00D66E3F">
      <w:pPr>
        <w:ind w:left="-15" w:right="63" w:firstLine="425"/>
      </w:pPr>
      <w:r>
        <w:t>Корпоративное поведение Общества основано на уважении прав и законных интересов его участников и способствует эффективной деятельности Общества. Принципы корпоративного поведения направлены на создание доверия в отношениях, возникающих в связи с управлением Обществом. Оно обеспечивает акционерам реальную возможность осуществлять свои права, связанные с участием в Обществе. Наблюдательный совет определяет стратегию развития Общества, а также обеспечивает эффективный контроль за финансово-хозяйственной деятел</w:t>
      </w:r>
      <w:r>
        <w:t xml:space="preserve">ьностью Общества.  </w:t>
      </w:r>
    </w:p>
    <w:p w14:paraId="1B8A475F" w14:textId="77777777" w:rsidR="00CA5D1C" w:rsidRDefault="00D66E3F">
      <w:pPr>
        <w:ind w:left="-15" w:right="63" w:firstLine="425"/>
      </w:pPr>
      <w:r>
        <w:t xml:space="preserve">Основными принципами раскрытия информации об Обществе являются регулярность и оперативность ее предоставления, доступность такой информации для акционеров, достоверность и полнота ее содержания, поддержание разумного баланса между открытостью Общества и соблюдением его коммерческих интересов. </w:t>
      </w:r>
    </w:p>
    <w:p w14:paraId="22E0BE70" w14:textId="77777777" w:rsidR="00CA5D1C" w:rsidRDefault="00D66E3F">
      <w:pPr>
        <w:spacing w:after="163" w:line="259" w:lineRule="auto"/>
        <w:ind w:left="428" w:firstLine="0"/>
        <w:jc w:val="left"/>
      </w:pPr>
      <w:r>
        <w:t xml:space="preserve"> </w:t>
      </w:r>
    </w:p>
    <w:p w14:paraId="22F687A3" w14:textId="77777777" w:rsidR="00CA5D1C" w:rsidRDefault="00D66E3F">
      <w:pPr>
        <w:numPr>
          <w:ilvl w:val="0"/>
          <w:numId w:val="22"/>
        </w:numPr>
        <w:spacing w:after="149"/>
        <w:ind w:hanging="360"/>
        <w:jc w:val="left"/>
      </w:pPr>
      <w:r>
        <w:rPr>
          <w:b/>
        </w:rPr>
        <w:t xml:space="preserve">Сведения об утверждении годового отчета общим собранием акционеров. </w:t>
      </w:r>
    </w:p>
    <w:p w14:paraId="66BE2D7D" w14:textId="77777777" w:rsidR="00CA5D1C" w:rsidRDefault="00D66E3F">
      <w:pPr>
        <w:ind w:left="-15" w:right="63" w:firstLine="425"/>
      </w:pPr>
      <w:r>
        <w:t xml:space="preserve"> Годовой отчет за 2023 год Акционерного общества «Муссон» утвержден общим собранием акционеров, которое состоялось 14 июня 2024 года. Данный факт отражен в протоколе годового общего собрания акционеров АО «Муссон» № 25 от </w:t>
      </w:r>
      <w:r>
        <w:rPr>
          <w:color w:val="FF0000"/>
        </w:rPr>
        <w:t>17.</w:t>
      </w:r>
      <w:r>
        <w:t>06.2024 г.</w:t>
      </w:r>
      <w:r>
        <w:rPr>
          <w:color w:val="FF0000"/>
        </w:rPr>
        <w:t xml:space="preserve"> </w:t>
      </w:r>
    </w:p>
    <w:p w14:paraId="28E3F3DF" w14:textId="77777777" w:rsidR="00CA5D1C" w:rsidRDefault="00D66E3F">
      <w:pPr>
        <w:spacing w:after="113" w:line="259" w:lineRule="auto"/>
        <w:ind w:left="428" w:firstLine="0"/>
        <w:jc w:val="left"/>
      </w:pPr>
      <w:r>
        <w:t xml:space="preserve"> </w:t>
      </w:r>
    </w:p>
    <w:p w14:paraId="4C0F7539" w14:textId="77777777" w:rsidR="00CA5D1C" w:rsidRDefault="00D66E3F">
      <w:pPr>
        <w:spacing w:after="0" w:line="259" w:lineRule="auto"/>
        <w:ind w:left="428" w:firstLine="0"/>
        <w:jc w:val="left"/>
      </w:pPr>
      <w:r>
        <w:rPr>
          <w:color w:val="FF0000"/>
        </w:rPr>
        <w:t xml:space="preserve"> </w:t>
      </w:r>
    </w:p>
    <w:sectPr w:rsidR="00CA5D1C">
      <w:footerReference w:type="even" r:id="rId20"/>
      <w:footerReference w:type="default" r:id="rId21"/>
      <w:footerReference w:type="first" r:id="rId22"/>
      <w:pgSz w:w="11906" w:h="16838"/>
      <w:pgMar w:top="717" w:right="496" w:bottom="70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CDB2" w14:textId="77777777" w:rsidR="00D66E3F" w:rsidRDefault="00D66E3F">
      <w:pPr>
        <w:spacing w:after="0" w:line="240" w:lineRule="auto"/>
      </w:pPr>
      <w:r>
        <w:separator/>
      </w:r>
    </w:p>
  </w:endnote>
  <w:endnote w:type="continuationSeparator" w:id="0">
    <w:p w14:paraId="74BF7792" w14:textId="77777777" w:rsidR="00D66E3F" w:rsidRDefault="00D6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7902" w14:textId="77777777" w:rsidR="00CA5D1C" w:rsidRDefault="00D66E3F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14:paraId="6DF12E98" w14:textId="77777777" w:rsidR="00CA5D1C" w:rsidRDefault="00D66E3F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2EE4" w14:textId="77777777" w:rsidR="00CA5D1C" w:rsidRDefault="00D66E3F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14:paraId="11EFEAB3" w14:textId="77777777" w:rsidR="00CA5D1C" w:rsidRDefault="00D66E3F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00D" w14:textId="77777777" w:rsidR="00CA5D1C" w:rsidRDefault="00CA5D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203E" w14:textId="77777777" w:rsidR="00D66E3F" w:rsidRDefault="00D66E3F">
      <w:pPr>
        <w:spacing w:after="0" w:line="240" w:lineRule="auto"/>
      </w:pPr>
      <w:r>
        <w:separator/>
      </w:r>
    </w:p>
  </w:footnote>
  <w:footnote w:type="continuationSeparator" w:id="0">
    <w:p w14:paraId="68C021E3" w14:textId="77777777" w:rsidR="00D66E3F" w:rsidRDefault="00D6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AEA"/>
    <w:multiLevelType w:val="hybridMultilevel"/>
    <w:tmpl w:val="C3588D82"/>
    <w:lvl w:ilvl="0" w:tplc="4FE208D6">
      <w:start w:val="2022"/>
      <w:numFmt w:val="decimal"/>
      <w:lvlText w:val="%1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089C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AB23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2880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CA2F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B75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42A5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AFDE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EB55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21928"/>
    <w:multiLevelType w:val="hybridMultilevel"/>
    <w:tmpl w:val="7E284DA8"/>
    <w:lvl w:ilvl="0" w:tplc="B1D01AB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E4F92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F0A8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4981A">
      <w:start w:val="1"/>
      <w:numFmt w:val="bullet"/>
      <w:lvlRestart w:val="0"/>
      <w:lvlText w:val="-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61A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618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AB6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248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8ED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24237"/>
    <w:multiLevelType w:val="hybridMultilevel"/>
    <w:tmpl w:val="1400A9A6"/>
    <w:lvl w:ilvl="0" w:tplc="C53642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EC2C8">
      <w:start w:val="1"/>
      <w:numFmt w:val="bullet"/>
      <w:lvlText w:val="o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E86E6">
      <w:start w:val="1"/>
      <w:numFmt w:val="bullet"/>
      <w:lvlText w:val="▪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6246E">
      <w:start w:val="1"/>
      <w:numFmt w:val="bullet"/>
      <w:lvlRestart w:val="0"/>
      <w:lvlText w:val="-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606B8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A72F0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E87E6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B202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8E5E4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2A6E3E"/>
    <w:multiLevelType w:val="hybridMultilevel"/>
    <w:tmpl w:val="15386BCA"/>
    <w:lvl w:ilvl="0" w:tplc="7C5669C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412EC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EF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C652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E04A2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21224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8D9E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34A2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A855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AD3437"/>
    <w:multiLevelType w:val="hybridMultilevel"/>
    <w:tmpl w:val="E1669768"/>
    <w:lvl w:ilvl="0" w:tplc="1F5441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E4B0A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A9C50">
      <w:start w:val="1"/>
      <w:numFmt w:val="lowerRoman"/>
      <w:lvlText w:val="%3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CF760">
      <w:start w:val="1"/>
      <w:numFmt w:val="decimal"/>
      <w:lvlRestart w:val="0"/>
      <w:lvlText w:val="%4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20EB2">
      <w:start w:val="1"/>
      <w:numFmt w:val="lowerLetter"/>
      <w:lvlText w:val="%5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267E">
      <w:start w:val="1"/>
      <w:numFmt w:val="lowerRoman"/>
      <w:lvlText w:val="%6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CF6D2">
      <w:start w:val="1"/>
      <w:numFmt w:val="decimal"/>
      <w:lvlText w:val="%7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7570">
      <w:start w:val="1"/>
      <w:numFmt w:val="lowerLetter"/>
      <w:lvlText w:val="%8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20D36">
      <w:start w:val="1"/>
      <w:numFmt w:val="lowerRoman"/>
      <w:lvlText w:val="%9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B6F69"/>
    <w:multiLevelType w:val="hybridMultilevel"/>
    <w:tmpl w:val="A34C3362"/>
    <w:lvl w:ilvl="0" w:tplc="B6CEAF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2A1C">
      <w:start w:val="1"/>
      <w:numFmt w:val="lowerLetter"/>
      <w:lvlText w:val="%2"/>
      <w:lvlJc w:val="left"/>
      <w:pPr>
        <w:ind w:left="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44AD0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63D72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0482A">
      <w:start w:val="1"/>
      <w:numFmt w:val="lowerLetter"/>
      <w:lvlText w:val="%5"/>
      <w:lvlJc w:val="left"/>
      <w:pPr>
        <w:ind w:left="2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4E872">
      <w:start w:val="3"/>
      <w:numFmt w:val="decimal"/>
      <w:lvlRestart w:val="0"/>
      <w:lvlText w:val="%6.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87E2">
      <w:start w:val="1"/>
      <w:numFmt w:val="decimal"/>
      <w:lvlText w:val="%7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2BAEE">
      <w:start w:val="1"/>
      <w:numFmt w:val="lowerLetter"/>
      <w:lvlText w:val="%8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62006">
      <w:start w:val="1"/>
      <w:numFmt w:val="lowerRoman"/>
      <w:lvlText w:val="%9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452571"/>
    <w:multiLevelType w:val="multilevel"/>
    <w:tmpl w:val="34D07A9E"/>
    <w:lvl w:ilvl="0">
      <w:start w:val="1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9B7472"/>
    <w:multiLevelType w:val="multilevel"/>
    <w:tmpl w:val="EF262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6E2D83"/>
    <w:multiLevelType w:val="hybridMultilevel"/>
    <w:tmpl w:val="534E4424"/>
    <w:lvl w:ilvl="0" w:tplc="744033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CD732">
      <w:start w:val="1"/>
      <w:numFmt w:val="bullet"/>
      <w:lvlRestart w:val="0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84648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64484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2899A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7D42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2631A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80BD0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E36D4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477602"/>
    <w:multiLevelType w:val="multilevel"/>
    <w:tmpl w:val="04A20E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68534A"/>
    <w:multiLevelType w:val="hybridMultilevel"/>
    <w:tmpl w:val="E6F24DDA"/>
    <w:lvl w:ilvl="0" w:tplc="F76A53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C69C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AA848">
      <w:start w:val="9"/>
      <w:numFmt w:val="decimal"/>
      <w:lvlRestart w:val="0"/>
      <w:lvlText w:val="%3."/>
      <w:lvlJc w:val="left"/>
      <w:pPr>
        <w:ind w:left="1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4D34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4FF82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009F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EE0F0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E35F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A6E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51E80"/>
    <w:multiLevelType w:val="hybridMultilevel"/>
    <w:tmpl w:val="B19A157A"/>
    <w:lvl w:ilvl="0" w:tplc="3CD29A8E">
      <w:start w:val="14"/>
      <w:numFmt w:val="decimal"/>
      <w:lvlText w:val="%1."/>
      <w:lvlJc w:val="left"/>
      <w:pPr>
        <w:ind w:left="1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B3FC">
      <w:start w:val="1"/>
      <w:numFmt w:val="lowerLetter"/>
      <w:lvlText w:val="%2"/>
      <w:lvlJc w:val="left"/>
      <w:pPr>
        <w:ind w:left="2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886AE">
      <w:start w:val="1"/>
      <w:numFmt w:val="lowerRoman"/>
      <w:lvlText w:val="%3"/>
      <w:lvlJc w:val="left"/>
      <w:pPr>
        <w:ind w:left="2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AB4C6">
      <w:start w:val="1"/>
      <w:numFmt w:val="decimal"/>
      <w:lvlText w:val="%4"/>
      <w:lvlJc w:val="left"/>
      <w:pPr>
        <w:ind w:left="3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CC8BE">
      <w:start w:val="1"/>
      <w:numFmt w:val="lowerLetter"/>
      <w:lvlText w:val="%5"/>
      <w:lvlJc w:val="left"/>
      <w:pPr>
        <w:ind w:left="4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E702E">
      <w:start w:val="1"/>
      <w:numFmt w:val="lowerRoman"/>
      <w:lvlText w:val="%6"/>
      <w:lvlJc w:val="left"/>
      <w:pPr>
        <w:ind w:left="5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0AD7C">
      <w:start w:val="1"/>
      <w:numFmt w:val="decimal"/>
      <w:lvlText w:val="%7"/>
      <w:lvlJc w:val="left"/>
      <w:pPr>
        <w:ind w:left="5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A74EE">
      <w:start w:val="1"/>
      <w:numFmt w:val="lowerLetter"/>
      <w:lvlText w:val="%8"/>
      <w:lvlJc w:val="left"/>
      <w:pPr>
        <w:ind w:left="6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4DD3E">
      <w:start w:val="1"/>
      <w:numFmt w:val="lowerRoman"/>
      <w:lvlText w:val="%9"/>
      <w:lvlJc w:val="left"/>
      <w:pPr>
        <w:ind w:left="7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2A3397"/>
    <w:multiLevelType w:val="hybridMultilevel"/>
    <w:tmpl w:val="A57293EE"/>
    <w:lvl w:ilvl="0" w:tplc="91B2CB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06292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0A65E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CA882">
      <w:start w:val="1"/>
      <w:numFmt w:val="bullet"/>
      <w:lvlRestart w:val="0"/>
      <w:lvlText w:val="-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C81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6B0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0F4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884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8F9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993F75"/>
    <w:multiLevelType w:val="multilevel"/>
    <w:tmpl w:val="4D16DA4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6941A3"/>
    <w:multiLevelType w:val="hybridMultilevel"/>
    <w:tmpl w:val="7AFEDE44"/>
    <w:lvl w:ilvl="0" w:tplc="7B6667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A786C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2029C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E220C">
      <w:start w:val="1"/>
      <w:numFmt w:val="bullet"/>
      <w:lvlRestart w:val="0"/>
      <w:lvlText w:val="-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C0A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880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C15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92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22C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C1459"/>
    <w:multiLevelType w:val="hybridMultilevel"/>
    <w:tmpl w:val="B226CC06"/>
    <w:lvl w:ilvl="0" w:tplc="85DAA0A8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23AB0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4739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6F1EA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63D02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C7E16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C4CD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E2038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E0B24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015012"/>
    <w:multiLevelType w:val="hybridMultilevel"/>
    <w:tmpl w:val="2AF424C6"/>
    <w:lvl w:ilvl="0" w:tplc="32CE95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04C6A">
      <w:start w:val="1"/>
      <w:numFmt w:val="lowerLetter"/>
      <w:lvlText w:val="%2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CD0F0">
      <w:start w:val="1"/>
      <w:numFmt w:val="lowerRoman"/>
      <w:lvlText w:val="%3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4ACE2">
      <w:start w:val="1"/>
      <w:numFmt w:val="decimal"/>
      <w:lvlRestart w:val="0"/>
      <w:lvlText w:val="%4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27F06">
      <w:start w:val="1"/>
      <w:numFmt w:val="lowerLetter"/>
      <w:lvlText w:val="%5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E5C7C">
      <w:start w:val="1"/>
      <w:numFmt w:val="lowerRoman"/>
      <w:lvlText w:val="%6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681EE">
      <w:start w:val="1"/>
      <w:numFmt w:val="decimal"/>
      <w:lvlText w:val="%7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4D44">
      <w:start w:val="1"/>
      <w:numFmt w:val="lowerLetter"/>
      <w:lvlText w:val="%8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6037A">
      <w:start w:val="1"/>
      <w:numFmt w:val="lowerRoman"/>
      <w:lvlText w:val="%9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4D0B7D"/>
    <w:multiLevelType w:val="hybridMultilevel"/>
    <w:tmpl w:val="FCC01CCC"/>
    <w:lvl w:ilvl="0" w:tplc="15C21A1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43696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C5230">
      <w:start w:val="1"/>
      <w:numFmt w:val="bullet"/>
      <w:lvlText w:val="▪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8E3C8">
      <w:start w:val="1"/>
      <w:numFmt w:val="bullet"/>
      <w:lvlText w:val="•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43CD6">
      <w:start w:val="1"/>
      <w:numFmt w:val="bullet"/>
      <w:lvlText w:val="o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0D142">
      <w:start w:val="1"/>
      <w:numFmt w:val="bullet"/>
      <w:lvlText w:val="▪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0B678">
      <w:start w:val="1"/>
      <w:numFmt w:val="bullet"/>
      <w:lvlText w:val="•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EE000">
      <w:start w:val="1"/>
      <w:numFmt w:val="bullet"/>
      <w:lvlText w:val="o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AE85C">
      <w:start w:val="1"/>
      <w:numFmt w:val="bullet"/>
      <w:lvlText w:val="▪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136A63"/>
    <w:multiLevelType w:val="hybridMultilevel"/>
    <w:tmpl w:val="66BA6AEC"/>
    <w:lvl w:ilvl="0" w:tplc="7110D7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2EF0C">
      <w:start w:val="1"/>
      <w:numFmt w:val="decimal"/>
      <w:lvlRestart w:val="0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8937A">
      <w:start w:val="1"/>
      <w:numFmt w:val="lowerRoman"/>
      <w:lvlText w:val="%3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4A6CA">
      <w:start w:val="1"/>
      <w:numFmt w:val="decimal"/>
      <w:lvlText w:val="%4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45410">
      <w:start w:val="1"/>
      <w:numFmt w:val="lowerLetter"/>
      <w:lvlText w:val="%5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8A598">
      <w:start w:val="1"/>
      <w:numFmt w:val="lowerRoman"/>
      <w:lvlText w:val="%6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A176">
      <w:start w:val="1"/>
      <w:numFmt w:val="decimal"/>
      <w:lvlText w:val="%7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C6A04">
      <w:start w:val="1"/>
      <w:numFmt w:val="lowerLetter"/>
      <w:lvlText w:val="%8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60C26">
      <w:start w:val="1"/>
      <w:numFmt w:val="lowerRoman"/>
      <w:lvlText w:val="%9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697A00"/>
    <w:multiLevelType w:val="hybridMultilevel"/>
    <w:tmpl w:val="23B681E8"/>
    <w:lvl w:ilvl="0" w:tplc="1214FE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A1872">
      <w:start w:val="1"/>
      <w:numFmt w:val="bullet"/>
      <w:lvlText w:val="o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648B6">
      <w:start w:val="1"/>
      <w:numFmt w:val="bullet"/>
      <w:lvlText w:val="▪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578A">
      <w:start w:val="1"/>
      <w:numFmt w:val="bullet"/>
      <w:lvlText w:val="•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6CF9E">
      <w:start w:val="1"/>
      <w:numFmt w:val="bullet"/>
      <w:lvlRestart w:val="0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AD1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C9F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2217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EF5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983BDA"/>
    <w:multiLevelType w:val="hybridMultilevel"/>
    <w:tmpl w:val="B1EE7BDE"/>
    <w:lvl w:ilvl="0" w:tplc="57CA53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67300">
      <w:start w:val="1"/>
      <w:numFmt w:val="bullet"/>
      <w:lvlText w:val="o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CBCC2">
      <w:start w:val="1"/>
      <w:numFmt w:val="bullet"/>
      <w:lvlText w:val="▪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006E8">
      <w:start w:val="1"/>
      <w:numFmt w:val="bullet"/>
      <w:lvlText w:val="•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062C8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C23D4">
      <w:start w:val="1"/>
      <w:numFmt w:val="bullet"/>
      <w:lvlRestart w:val="0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4632">
      <w:start w:val="1"/>
      <w:numFmt w:val="bullet"/>
      <w:lvlText w:val="•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221B8">
      <w:start w:val="1"/>
      <w:numFmt w:val="bullet"/>
      <w:lvlText w:val="o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689E0">
      <w:start w:val="1"/>
      <w:numFmt w:val="bullet"/>
      <w:lvlText w:val="▪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725684"/>
    <w:multiLevelType w:val="hybridMultilevel"/>
    <w:tmpl w:val="77DE24AE"/>
    <w:lvl w:ilvl="0" w:tplc="8BC6C3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C5EFE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4877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A0286">
      <w:start w:val="7"/>
      <w:numFmt w:val="decimal"/>
      <w:lvlRestart w:val="0"/>
      <w:lvlText w:val="%4."/>
      <w:lvlJc w:val="left"/>
      <w:pPr>
        <w:ind w:left="2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218B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04C3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E9EA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06E7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2463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006689">
    <w:abstractNumId w:val="7"/>
  </w:num>
  <w:num w:numId="2" w16cid:durableId="1638873467">
    <w:abstractNumId w:val="9"/>
  </w:num>
  <w:num w:numId="3" w16cid:durableId="612786214">
    <w:abstractNumId w:val="16"/>
  </w:num>
  <w:num w:numId="4" w16cid:durableId="1667322989">
    <w:abstractNumId w:val="5"/>
  </w:num>
  <w:num w:numId="5" w16cid:durableId="1948468588">
    <w:abstractNumId w:val="4"/>
  </w:num>
  <w:num w:numId="6" w16cid:durableId="1366952406">
    <w:abstractNumId w:val="0"/>
  </w:num>
  <w:num w:numId="7" w16cid:durableId="1268194905">
    <w:abstractNumId w:val="3"/>
  </w:num>
  <w:num w:numId="8" w16cid:durableId="1191988196">
    <w:abstractNumId w:val="13"/>
  </w:num>
  <w:num w:numId="9" w16cid:durableId="255602876">
    <w:abstractNumId w:val="21"/>
  </w:num>
  <w:num w:numId="10" w16cid:durableId="470025307">
    <w:abstractNumId w:val="8"/>
  </w:num>
  <w:num w:numId="11" w16cid:durableId="779764894">
    <w:abstractNumId w:val="10"/>
  </w:num>
  <w:num w:numId="12" w16cid:durableId="1062487409">
    <w:abstractNumId w:val="18"/>
  </w:num>
  <w:num w:numId="13" w16cid:durableId="550464916">
    <w:abstractNumId w:val="15"/>
  </w:num>
  <w:num w:numId="14" w16cid:durableId="955407568">
    <w:abstractNumId w:val="6"/>
  </w:num>
  <w:num w:numId="15" w16cid:durableId="610013958">
    <w:abstractNumId w:val="19"/>
  </w:num>
  <w:num w:numId="16" w16cid:durableId="1471678197">
    <w:abstractNumId w:val="2"/>
  </w:num>
  <w:num w:numId="17" w16cid:durableId="1398170363">
    <w:abstractNumId w:val="12"/>
  </w:num>
  <w:num w:numId="18" w16cid:durableId="913322608">
    <w:abstractNumId w:val="14"/>
  </w:num>
  <w:num w:numId="19" w16cid:durableId="1861353913">
    <w:abstractNumId w:val="1"/>
  </w:num>
  <w:num w:numId="20" w16cid:durableId="1874616281">
    <w:abstractNumId w:val="20"/>
  </w:num>
  <w:num w:numId="21" w16cid:durableId="1119642978">
    <w:abstractNumId w:val="17"/>
  </w:num>
  <w:num w:numId="22" w16cid:durableId="1258558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1C"/>
    <w:rsid w:val="00904EEB"/>
    <w:rsid w:val="00CA5D1C"/>
    <w:rsid w:val="00D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55F4"/>
  <w15:docId w15:val="{E27629F7-2D0E-4F73-B753-05322D7A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" TargetMode="External"/><Relationship Id="rId13" Type="http://schemas.openxmlformats.org/officeDocument/2006/relationships/hyperlink" Target="http://www.e-disclosure.ru/" TargetMode="External"/><Relationship Id="rId18" Type="http://schemas.openxmlformats.org/officeDocument/2006/relationships/hyperlink" Target="http://www.musson.s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http://www.e-disclosure.ru/" TargetMode="External"/><Relationship Id="rId17" Type="http://schemas.openxmlformats.org/officeDocument/2006/relationships/hyperlink" Target="http://www.e-disclosur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disclosure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disclosure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-disclosure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-disclosure.ru/" TargetMode="External"/><Relationship Id="rId19" Type="http://schemas.openxmlformats.org/officeDocument/2006/relationships/hyperlink" Target="http://www.musson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" TargetMode="External"/><Relationship Id="rId14" Type="http://schemas.openxmlformats.org/officeDocument/2006/relationships/hyperlink" Target="http://www.e-disclosure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10610</Words>
  <Characters>60481</Characters>
  <Application>Microsoft Office Word</Application>
  <DocSecurity>0</DocSecurity>
  <Lines>504</Lines>
  <Paragraphs>141</Paragraphs>
  <ScaleCrop>false</ScaleCrop>
  <Company>Grizli777</Company>
  <LinksUpToDate>false</LinksUpToDate>
  <CharactersWithSpaces>70950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Тубаева Наталья Викторовна</dc:creator>
  <cp:keywords/>
  <cp:lastModifiedBy>aib</cp:lastModifiedBy>
  <cp:revision>2</cp:revision>
  <dcterms:created xsi:type="dcterms:W3CDTF">2025-04-22T07:17:00Z</dcterms:created>
  <dcterms:modified xsi:type="dcterms:W3CDTF">2025-04-22T07:17:00Z</dcterms:modified>
</cp:coreProperties>
</file>