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43"/>
        <w:rPr>
          <w:sz w:val="20"/>
        </w:rPr>
      </w:pPr>
      <w:r>
        <w:rPr>
          <w:sz w:val="20"/>
        </w:rPr>
        <w:drawing>
          <wp:inline distT="0" distB="0" distL="0" distR="0">
            <wp:extent cx="9031523" cy="63779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1523" cy="637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480" w:top="980" w:bottom="660" w:left="708" w:right="566"/>
          <w:pgNumType w:start="1"/>
        </w:sectPr>
      </w:pPr>
    </w:p>
    <w:p>
      <w:pPr>
        <w:pStyle w:val="BodyText"/>
        <w:ind w:left="0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59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94" w:right="81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6"/>
              <w:rPr>
                <w:sz w:val="24"/>
              </w:rPr>
            </w:pP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согласия физического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</w:t>
            </w:r>
          </w:p>
          <w:p>
            <w:pPr>
              <w:pStyle w:val="TableParagraph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3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3" w:righ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22"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Плотка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00" w:bottom="700" w:left="708" w:right="566"/>
        </w:sectPr>
      </w:pPr>
    </w:p>
    <w:p>
      <w:pPr>
        <w:pStyle w:val="BodyText"/>
        <w:ind w:left="0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5" w:right="24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3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4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7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6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80" w:top="700" w:bottom="660" w:left="708" w:right="566"/>
        </w:sectPr>
      </w:pPr>
    </w:p>
    <w:p>
      <w:pPr>
        <w:pStyle w:val="BodyText"/>
        <w:ind w:left="0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7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spacing w:before="19"/>
        <w:ind w:left="142" w:right="0" w:firstLine="0"/>
        <w:jc w:val="left"/>
        <w:rPr>
          <w:sz w:val="20"/>
        </w:rPr>
      </w:pPr>
      <w:r>
        <w:rPr>
          <w:sz w:val="20"/>
        </w:rPr>
        <w:t>*Указана</w:t>
      </w:r>
      <w:r>
        <w:rPr>
          <w:spacing w:val="-6"/>
          <w:sz w:val="20"/>
        </w:rPr>
        <w:t> </w:t>
      </w:r>
      <w:r>
        <w:rPr>
          <w:sz w:val="20"/>
        </w:rPr>
        <w:t>наиболее</w:t>
      </w:r>
      <w:r>
        <w:rPr>
          <w:spacing w:val="-5"/>
          <w:sz w:val="20"/>
        </w:rPr>
        <w:t> </w:t>
      </w:r>
      <w:r>
        <w:rPr>
          <w:sz w:val="20"/>
        </w:rPr>
        <w:t>ранняя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3"/>
          <w:sz w:val="20"/>
        </w:rPr>
        <w:t> </w:t>
      </w:r>
      <w:r>
        <w:rPr>
          <w:sz w:val="20"/>
        </w:rPr>
        <w:t>дат,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которую</w:t>
      </w:r>
      <w:r>
        <w:rPr>
          <w:spacing w:val="-3"/>
          <w:sz w:val="20"/>
        </w:rPr>
        <w:t> </w:t>
      </w:r>
      <w:r>
        <w:rPr>
          <w:sz w:val="20"/>
        </w:rPr>
        <w:t>Обществу</w:t>
      </w:r>
      <w:r>
        <w:rPr>
          <w:spacing w:val="-4"/>
          <w:sz w:val="20"/>
        </w:rPr>
        <w:t> </w:t>
      </w:r>
      <w:r>
        <w:rPr>
          <w:sz w:val="20"/>
        </w:rPr>
        <w:t>достоверно</w:t>
      </w:r>
      <w:r>
        <w:rPr>
          <w:spacing w:val="-4"/>
          <w:sz w:val="20"/>
        </w:rPr>
        <w:t> </w:t>
      </w:r>
      <w:r>
        <w:rPr>
          <w:sz w:val="20"/>
        </w:rPr>
        <w:t>известно</w:t>
      </w:r>
      <w:r>
        <w:rPr>
          <w:spacing w:val="-4"/>
          <w:sz w:val="20"/>
        </w:rPr>
        <w:t> </w:t>
      </w:r>
      <w:r>
        <w:rPr>
          <w:sz w:val="20"/>
        </w:rPr>
        <w:t>об</w:t>
      </w:r>
      <w:r>
        <w:rPr>
          <w:spacing w:val="-4"/>
          <w:sz w:val="20"/>
        </w:rPr>
        <w:t> </w:t>
      </w:r>
      <w:r>
        <w:rPr>
          <w:sz w:val="20"/>
        </w:rPr>
        <w:t>аффилированности</w:t>
      </w:r>
      <w:r>
        <w:rPr>
          <w:spacing w:val="-4"/>
          <w:sz w:val="20"/>
        </w:rPr>
        <w:t> </w:t>
      </w:r>
      <w:r>
        <w:rPr>
          <w:sz w:val="20"/>
        </w:rPr>
        <w:t>данного</w:t>
      </w:r>
      <w:r>
        <w:rPr>
          <w:spacing w:val="-4"/>
          <w:sz w:val="20"/>
        </w:rPr>
        <w:t> лица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0" w:footer="480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81" w:after="1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срок.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>
          <w:spacing w:val="-2"/>
        </w:rPr>
        <w:t>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5639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8" w:right="98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510" w:right="491"/>
              <w:rPr>
                <w:sz w:val="24"/>
              </w:rPr>
            </w:pPr>
            <w:r>
              <w:rPr>
                <w:spacing w:val="-2"/>
                <w:sz w:val="24"/>
              </w:rPr>
              <w:t>общества </w:t>
            </w:r>
            <w:r>
              <w:rPr>
                <w:spacing w:val="-4"/>
                <w:sz w:val="24"/>
              </w:rPr>
              <w:t>Член</w:t>
            </w:r>
          </w:p>
          <w:p>
            <w:pPr>
              <w:pStyle w:val="TableParagraph"/>
              <w:spacing w:before="1"/>
              <w:ind w:left="141" w:right="119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287" w:right="209" w:firstLine="4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право</w:t>
            </w:r>
          </w:p>
          <w:p>
            <w:pPr>
              <w:pStyle w:val="TableParagraph"/>
              <w:ind w:left="117" w:right="98"/>
              <w:rPr>
                <w:sz w:val="24"/>
              </w:rPr>
            </w:pPr>
            <w:r>
              <w:rPr>
                <w:sz w:val="24"/>
              </w:rPr>
              <w:t>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 </w:t>
            </w: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5" w:right="217" w:hanging="1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 </w:t>
            </w:r>
            <w:r>
              <w:rPr>
                <w:spacing w:val="-2"/>
                <w:sz w:val="24"/>
              </w:rPr>
              <w:t>данного акционерного</w:t>
            </w:r>
          </w:p>
          <w:p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BodyText"/>
        <w:spacing w:before="18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671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119" w:firstLine="66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40" w:bottom="798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271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6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9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совета </w:t>
            </w: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  <w:vMerge w:val="restart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z w:val="24"/>
              </w:rPr>
              <w:t>Лицо </w:t>
            </w: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1"/>
              <w:rPr>
                <w:sz w:val="24"/>
              </w:rPr>
            </w:pPr>
            <w:r>
              <w:rPr>
                <w:spacing w:val="-2"/>
                <w:sz w:val="24"/>
              </w:rPr>
              <w:t>единоличным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органом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Лицо имеет</w:t>
            </w:r>
            <w:r>
              <w:rPr>
                <w:spacing w:val="-2"/>
                <w:sz w:val="24"/>
              </w:rPr>
              <w:t> право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распоряжаться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2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 </w:t>
            </w:r>
            <w:r>
              <w:rPr>
                <w:spacing w:val="-2"/>
                <w:sz w:val="24"/>
              </w:rPr>
              <w:t>процентами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общего </w:t>
            </w:r>
            <w:r>
              <w:rPr>
                <w:spacing w:val="-2"/>
                <w:sz w:val="24"/>
              </w:rPr>
              <w:t>количества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1"/>
              <w:rPr>
                <w:sz w:val="24"/>
              </w:rPr>
            </w:pPr>
            <w:r>
              <w:rPr>
                <w:sz w:val="24"/>
              </w:rPr>
              <w:t>приходящихся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голосующие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данного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7" w:right="99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>
            <w:pPr>
              <w:pStyle w:val="TableParagraph"/>
              <w:spacing w:line="264" w:lineRule="exact"/>
              <w:ind w:left="11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5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2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18" w:after="44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2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1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1"/>
        </w:rPr>
        <w:t> </w:t>
      </w:r>
      <w:r>
        <w:rPr>
          <w:spacing w:val="-2"/>
        </w:rPr>
        <w:t>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1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header="0" w:footer="480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888" w:hRule="atLeast"/>
        </w:trPr>
        <w:tc>
          <w:tcPr>
            <w:tcW w:w="51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ind w:left="141" w:right="119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spacing w:before="273"/>
              <w:jc w:val="left"/>
              <w:rPr>
                <w:sz w:val="24"/>
              </w:rPr>
            </w:pPr>
          </w:p>
          <w:p>
            <w:pPr>
              <w:pStyle w:val="TableParagraph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</w:tcPr>
          <w:p>
            <w:pPr>
              <w:pStyle w:val="TableParagraph"/>
              <w:spacing w:line="274" w:lineRule="exact"/>
              <w:ind w:left="5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67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19" w:after="42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2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4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7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20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887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line="258" w:lineRule="exact"/>
              <w:ind w:left="117" w:right="100"/>
              <w:rPr>
                <w:sz w:val="24"/>
              </w:rPr>
            </w:pPr>
            <w:r>
              <w:rPr>
                <w:sz w:val="24"/>
              </w:rPr>
              <w:t>совета </w:t>
            </w:r>
            <w:r>
              <w:rPr>
                <w:spacing w:val="-2"/>
                <w:sz w:val="24"/>
              </w:rPr>
              <w:t>акционерного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type w:val="continuous"/>
          <w:pgSz w:w="16840" w:h="11910" w:orient="landscape"/>
          <w:pgMar w:header="0" w:footer="480" w:top="720" w:bottom="858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35" w:hRule="atLeast"/>
        </w:trPr>
        <w:tc>
          <w:tcPr>
            <w:tcW w:w="51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line="274" w:lineRule="exact"/>
              <w:ind w:left="7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spacing w:line="274" w:lineRule="exact"/>
              <w:ind w:left="3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28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4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19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p>
      <w:pPr>
        <w:pStyle w:val="BodyText"/>
        <w:spacing w:after="0"/>
        <w:sectPr>
          <w:type w:val="continuous"/>
          <w:pgSz w:w="16840" w:h="11910" w:orient="landscape"/>
          <w:pgMar w:header="0" w:footer="480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2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01.07.2020</w:t>
            </w:r>
          </w:p>
        </w:tc>
      </w:tr>
    </w:tbl>
    <w:p>
      <w:pPr>
        <w:pStyle w:val="BodyText"/>
        <w:spacing w:before="20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8" w:after="44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117" w:righ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8" w:right="98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26.06.2020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6"/>
      </w:pPr>
      <w:r>
        <w:rPr/>
        <w:t>Дополнительная </w:t>
      </w:r>
      <w:r>
        <w:rPr>
          <w:spacing w:val="-2"/>
        </w:rPr>
        <w:t>информация:</w:t>
      </w:r>
    </w:p>
    <w:sectPr>
      <w:pgSz w:w="16840" w:h="11910" w:orient="landscape"/>
      <w:pgMar w:header="0" w:footer="480" w:top="72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6795776">
              <wp:simplePos x="0" y="0"/>
              <wp:positionH relativeFrom="page">
                <wp:posOffset>10051542</wp:posOffset>
              </wp:positionH>
              <wp:positionV relativeFrom="page">
                <wp:posOffset>7095376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60022pt;margin-top:558.691040pt;width:12.05pt;height:13.1pt;mso-position-horizontal-relative:page;mso-position-vertical-relative:page;z-index:-165207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  <w:ind w:left="1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2025-04-21T10:42:38Z</dcterms:created>
  <dcterms:modified xsi:type="dcterms:W3CDTF">2025-04-21T10:42:38Z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